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5511C" w14:textId="65DF5FED" w:rsidR="00F50176" w:rsidRPr="008F7089" w:rsidRDefault="00500F8C">
      <w:pPr>
        <w:rPr>
          <w:sz w:val="32"/>
          <w:szCs w:val="32"/>
        </w:rPr>
      </w:pPr>
      <w:r>
        <w:rPr>
          <w:sz w:val="32"/>
          <w:szCs w:val="32"/>
        </w:rPr>
        <w:t>Gist issue 451: simplify Magnitude and Unit of Measure</w:t>
      </w:r>
    </w:p>
    <w:p w14:paraId="213F53E8" w14:textId="10C9D1A4" w:rsidR="0033712D" w:rsidRPr="008F7089" w:rsidRDefault="0033712D">
      <w:pPr>
        <w:rPr>
          <w:sz w:val="32"/>
          <w:szCs w:val="32"/>
        </w:rPr>
      </w:pPr>
      <w:r w:rsidRPr="008F7089">
        <w:rPr>
          <w:sz w:val="32"/>
          <w:szCs w:val="32"/>
        </w:rPr>
        <w:t>Phil Blackwood</w:t>
      </w:r>
    </w:p>
    <w:p w14:paraId="35BCB120" w14:textId="123092C6" w:rsidR="00ED7ACF" w:rsidRPr="00CB68F3" w:rsidRDefault="00500F8C">
      <w:pPr>
        <w:rPr>
          <w:sz w:val="32"/>
          <w:szCs w:val="32"/>
        </w:rPr>
      </w:pPr>
      <w:r>
        <w:rPr>
          <w:sz w:val="32"/>
          <w:szCs w:val="32"/>
        </w:rPr>
        <w:t>May</w:t>
      </w:r>
      <w:r w:rsidR="0033712D" w:rsidRPr="008F7089">
        <w:rPr>
          <w:sz w:val="32"/>
          <w:szCs w:val="32"/>
        </w:rPr>
        <w:t xml:space="preserve"> 2021</w:t>
      </w:r>
    </w:p>
    <w:sdt>
      <w:sdtPr>
        <w:rPr>
          <w:rFonts w:asciiTheme="minorHAnsi" w:eastAsiaTheme="minorHAnsi" w:hAnsiTheme="minorHAnsi" w:cstheme="minorBidi"/>
          <w:b w:val="0"/>
          <w:bCs w:val="0"/>
          <w:color w:val="auto"/>
          <w:sz w:val="24"/>
          <w:szCs w:val="24"/>
        </w:rPr>
        <w:id w:val="-2013058464"/>
        <w:docPartObj>
          <w:docPartGallery w:val="Table of Contents"/>
          <w:docPartUnique/>
        </w:docPartObj>
      </w:sdtPr>
      <w:sdtEndPr>
        <w:rPr>
          <w:noProof/>
        </w:rPr>
      </w:sdtEndPr>
      <w:sdtContent>
        <w:p w14:paraId="2A22DD3B" w14:textId="37EACD2E" w:rsidR="00ED7ACF" w:rsidRDefault="00ED7ACF">
          <w:pPr>
            <w:pStyle w:val="TOCHeading"/>
          </w:pPr>
          <w:r>
            <w:t>Table of Contents</w:t>
          </w:r>
        </w:p>
        <w:p w14:paraId="42219AB5" w14:textId="5763E962" w:rsidR="00A144B9" w:rsidRDefault="00ED7ACF">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72740514" w:history="1">
            <w:r w:rsidR="00A144B9" w:rsidRPr="00747B55">
              <w:rPr>
                <w:rStyle w:val="Hyperlink"/>
                <w:rFonts w:cstheme="majorHAnsi"/>
                <w:noProof/>
              </w:rPr>
              <w:t>Motivation and approach</w:t>
            </w:r>
            <w:r w:rsidR="00A144B9">
              <w:rPr>
                <w:noProof/>
                <w:webHidden/>
              </w:rPr>
              <w:tab/>
            </w:r>
            <w:r w:rsidR="00A144B9">
              <w:rPr>
                <w:noProof/>
                <w:webHidden/>
              </w:rPr>
              <w:fldChar w:fldCharType="begin"/>
            </w:r>
            <w:r w:rsidR="00A144B9">
              <w:rPr>
                <w:noProof/>
                <w:webHidden/>
              </w:rPr>
              <w:instrText xml:space="preserve"> PAGEREF _Toc72740514 \h </w:instrText>
            </w:r>
            <w:r w:rsidR="00A144B9">
              <w:rPr>
                <w:noProof/>
                <w:webHidden/>
              </w:rPr>
            </w:r>
            <w:r w:rsidR="00A144B9">
              <w:rPr>
                <w:noProof/>
                <w:webHidden/>
              </w:rPr>
              <w:fldChar w:fldCharType="separate"/>
            </w:r>
            <w:r w:rsidR="00A144B9">
              <w:rPr>
                <w:noProof/>
                <w:webHidden/>
              </w:rPr>
              <w:t>1</w:t>
            </w:r>
            <w:r w:rsidR="00A144B9">
              <w:rPr>
                <w:noProof/>
                <w:webHidden/>
              </w:rPr>
              <w:fldChar w:fldCharType="end"/>
            </w:r>
          </w:hyperlink>
        </w:p>
        <w:p w14:paraId="1E38F868" w14:textId="5BE1B7C2" w:rsidR="00A144B9" w:rsidRDefault="00A144B9">
          <w:pPr>
            <w:pStyle w:val="TOC1"/>
            <w:tabs>
              <w:tab w:val="right" w:leader="dot" w:pos="9350"/>
            </w:tabs>
            <w:rPr>
              <w:rFonts w:eastAsiaTheme="minorEastAsia" w:cstheme="minorBidi"/>
              <w:b w:val="0"/>
              <w:bCs w:val="0"/>
              <w:i w:val="0"/>
              <w:iCs w:val="0"/>
              <w:noProof/>
            </w:rPr>
          </w:pPr>
          <w:hyperlink w:anchor="_Toc72740515" w:history="1">
            <w:r w:rsidRPr="00747B55">
              <w:rPr>
                <w:rStyle w:val="Hyperlink"/>
                <w:rFonts w:cstheme="majorHAnsi"/>
                <w:noProof/>
              </w:rPr>
              <w:t>Summary of improvements</w:t>
            </w:r>
            <w:r>
              <w:rPr>
                <w:noProof/>
                <w:webHidden/>
              </w:rPr>
              <w:tab/>
            </w:r>
            <w:r>
              <w:rPr>
                <w:noProof/>
                <w:webHidden/>
              </w:rPr>
              <w:fldChar w:fldCharType="begin"/>
            </w:r>
            <w:r>
              <w:rPr>
                <w:noProof/>
                <w:webHidden/>
              </w:rPr>
              <w:instrText xml:space="preserve"> PAGEREF _Toc72740515 \h </w:instrText>
            </w:r>
            <w:r>
              <w:rPr>
                <w:noProof/>
                <w:webHidden/>
              </w:rPr>
            </w:r>
            <w:r>
              <w:rPr>
                <w:noProof/>
                <w:webHidden/>
              </w:rPr>
              <w:fldChar w:fldCharType="separate"/>
            </w:r>
            <w:r>
              <w:rPr>
                <w:noProof/>
                <w:webHidden/>
              </w:rPr>
              <w:t>2</w:t>
            </w:r>
            <w:r>
              <w:rPr>
                <w:noProof/>
                <w:webHidden/>
              </w:rPr>
              <w:fldChar w:fldCharType="end"/>
            </w:r>
          </w:hyperlink>
        </w:p>
        <w:p w14:paraId="0A9E81C8" w14:textId="00E11AA3" w:rsidR="00A144B9" w:rsidRDefault="00A144B9">
          <w:pPr>
            <w:pStyle w:val="TOC1"/>
            <w:tabs>
              <w:tab w:val="right" w:leader="dot" w:pos="9350"/>
            </w:tabs>
            <w:rPr>
              <w:rFonts w:eastAsiaTheme="minorEastAsia" w:cstheme="minorBidi"/>
              <w:b w:val="0"/>
              <w:bCs w:val="0"/>
              <w:i w:val="0"/>
              <w:iCs w:val="0"/>
              <w:noProof/>
            </w:rPr>
          </w:pPr>
          <w:hyperlink w:anchor="_Toc72740516" w:history="1">
            <w:r w:rsidRPr="00747B55">
              <w:rPr>
                <w:rStyle w:val="Hyperlink"/>
                <w:rFonts w:cstheme="majorHAnsi"/>
                <w:noProof/>
              </w:rPr>
              <w:t>Summary of the proposal</w:t>
            </w:r>
            <w:r>
              <w:rPr>
                <w:noProof/>
                <w:webHidden/>
              </w:rPr>
              <w:tab/>
            </w:r>
            <w:r>
              <w:rPr>
                <w:noProof/>
                <w:webHidden/>
              </w:rPr>
              <w:fldChar w:fldCharType="begin"/>
            </w:r>
            <w:r>
              <w:rPr>
                <w:noProof/>
                <w:webHidden/>
              </w:rPr>
              <w:instrText xml:space="preserve"> PAGEREF _Toc72740516 \h </w:instrText>
            </w:r>
            <w:r>
              <w:rPr>
                <w:noProof/>
                <w:webHidden/>
              </w:rPr>
            </w:r>
            <w:r>
              <w:rPr>
                <w:noProof/>
                <w:webHidden/>
              </w:rPr>
              <w:fldChar w:fldCharType="separate"/>
            </w:r>
            <w:r>
              <w:rPr>
                <w:noProof/>
                <w:webHidden/>
              </w:rPr>
              <w:t>3</w:t>
            </w:r>
            <w:r>
              <w:rPr>
                <w:noProof/>
                <w:webHidden/>
              </w:rPr>
              <w:fldChar w:fldCharType="end"/>
            </w:r>
          </w:hyperlink>
        </w:p>
        <w:p w14:paraId="7DE57A84" w14:textId="759CCA0F" w:rsidR="00A144B9" w:rsidRDefault="00A144B9">
          <w:pPr>
            <w:pStyle w:val="TOC1"/>
            <w:tabs>
              <w:tab w:val="right" w:leader="dot" w:pos="9350"/>
            </w:tabs>
            <w:rPr>
              <w:rFonts w:eastAsiaTheme="minorEastAsia" w:cstheme="minorBidi"/>
              <w:b w:val="0"/>
              <w:bCs w:val="0"/>
              <w:i w:val="0"/>
              <w:iCs w:val="0"/>
              <w:noProof/>
            </w:rPr>
          </w:pPr>
          <w:hyperlink w:anchor="_Toc72740517" w:history="1">
            <w:r w:rsidRPr="00747B55">
              <w:rPr>
                <w:rStyle w:val="Hyperlink"/>
                <w:rFonts w:cstheme="majorHAnsi"/>
                <w:noProof/>
              </w:rPr>
              <w:t>Main usage patterns</w:t>
            </w:r>
            <w:r>
              <w:rPr>
                <w:noProof/>
                <w:webHidden/>
              </w:rPr>
              <w:tab/>
            </w:r>
            <w:r>
              <w:rPr>
                <w:noProof/>
                <w:webHidden/>
              </w:rPr>
              <w:fldChar w:fldCharType="begin"/>
            </w:r>
            <w:r>
              <w:rPr>
                <w:noProof/>
                <w:webHidden/>
              </w:rPr>
              <w:instrText xml:space="preserve"> PAGEREF _Toc72740517 \h </w:instrText>
            </w:r>
            <w:r>
              <w:rPr>
                <w:noProof/>
                <w:webHidden/>
              </w:rPr>
            </w:r>
            <w:r>
              <w:rPr>
                <w:noProof/>
                <w:webHidden/>
              </w:rPr>
              <w:fldChar w:fldCharType="separate"/>
            </w:r>
            <w:r>
              <w:rPr>
                <w:noProof/>
                <w:webHidden/>
              </w:rPr>
              <w:t>6</w:t>
            </w:r>
            <w:r>
              <w:rPr>
                <w:noProof/>
                <w:webHidden/>
              </w:rPr>
              <w:fldChar w:fldCharType="end"/>
            </w:r>
          </w:hyperlink>
        </w:p>
        <w:p w14:paraId="679A283D" w14:textId="61E545F3" w:rsidR="00A144B9" w:rsidRDefault="00A144B9">
          <w:pPr>
            <w:pStyle w:val="TOC1"/>
            <w:tabs>
              <w:tab w:val="right" w:leader="dot" w:pos="9350"/>
            </w:tabs>
            <w:rPr>
              <w:rFonts w:eastAsiaTheme="minorEastAsia" w:cstheme="minorBidi"/>
              <w:b w:val="0"/>
              <w:bCs w:val="0"/>
              <w:i w:val="0"/>
              <w:iCs w:val="0"/>
              <w:noProof/>
            </w:rPr>
          </w:pPr>
          <w:hyperlink w:anchor="_Toc72740518" w:history="1">
            <w:r w:rsidRPr="00747B55">
              <w:rPr>
                <w:rStyle w:val="Hyperlink"/>
                <w:rFonts w:cstheme="majorHAnsi"/>
                <w:noProof/>
              </w:rPr>
              <w:t>Doing math with magnitudes</w:t>
            </w:r>
            <w:r>
              <w:rPr>
                <w:noProof/>
                <w:webHidden/>
              </w:rPr>
              <w:tab/>
            </w:r>
            <w:r>
              <w:rPr>
                <w:noProof/>
                <w:webHidden/>
              </w:rPr>
              <w:fldChar w:fldCharType="begin"/>
            </w:r>
            <w:r>
              <w:rPr>
                <w:noProof/>
                <w:webHidden/>
              </w:rPr>
              <w:instrText xml:space="preserve"> PAGEREF _Toc72740518 \h </w:instrText>
            </w:r>
            <w:r>
              <w:rPr>
                <w:noProof/>
                <w:webHidden/>
              </w:rPr>
            </w:r>
            <w:r>
              <w:rPr>
                <w:noProof/>
                <w:webHidden/>
              </w:rPr>
              <w:fldChar w:fldCharType="separate"/>
            </w:r>
            <w:r>
              <w:rPr>
                <w:noProof/>
                <w:webHidden/>
              </w:rPr>
              <w:t>9</w:t>
            </w:r>
            <w:r>
              <w:rPr>
                <w:noProof/>
                <w:webHidden/>
              </w:rPr>
              <w:fldChar w:fldCharType="end"/>
            </w:r>
          </w:hyperlink>
        </w:p>
        <w:p w14:paraId="2006A9F8" w14:textId="02AB3931" w:rsidR="00A144B9" w:rsidRDefault="00A144B9">
          <w:pPr>
            <w:pStyle w:val="TOC1"/>
            <w:tabs>
              <w:tab w:val="right" w:leader="dot" w:pos="9350"/>
            </w:tabs>
            <w:rPr>
              <w:rFonts w:eastAsiaTheme="minorEastAsia" w:cstheme="minorBidi"/>
              <w:b w:val="0"/>
              <w:bCs w:val="0"/>
              <w:i w:val="0"/>
              <w:iCs w:val="0"/>
              <w:noProof/>
            </w:rPr>
          </w:pPr>
          <w:hyperlink w:anchor="_Toc72740519" w:history="1">
            <w:r w:rsidRPr="00747B55">
              <w:rPr>
                <w:rStyle w:val="Hyperlink"/>
                <w:rFonts w:cstheme="majorHAnsi"/>
                <w:noProof/>
              </w:rPr>
              <w:t>Standard Units</w:t>
            </w:r>
            <w:r>
              <w:rPr>
                <w:noProof/>
                <w:webHidden/>
              </w:rPr>
              <w:tab/>
            </w:r>
            <w:r>
              <w:rPr>
                <w:noProof/>
                <w:webHidden/>
              </w:rPr>
              <w:fldChar w:fldCharType="begin"/>
            </w:r>
            <w:r>
              <w:rPr>
                <w:noProof/>
                <w:webHidden/>
              </w:rPr>
              <w:instrText xml:space="preserve"> PAGEREF _Toc72740519 \h </w:instrText>
            </w:r>
            <w:r>
              <w:rPr>
                <w:noProof/>
                <w:webHidden/>
              </w:rPr>
            </w:r>
            <w:r>
              <w:rPr>
                <w:noProof/>
                <w:webHidden/>
              </w:rPr>
              <w:fldChar w:fldCharType="separate"/>
            </w:r>
            <w:r>
              <w:rPr>
                <w:noProof/>
                <w:webHidden/>
              </w:rPr>
              <w:t>10</w:t>
            </w:r>
            <w:r>
              <w:rPr>
                <w:noProof/>
                <w:webHidden/>
              </w:rPr>
              <w:fldChar w:fldCharType="end"/>
            </w:r>
          </w:hyperlink>
        </w:p>
        <w:p w14:paraId="3AB34199" w14:textId="02A0EF01" w:rsidR="00A144B9" w:rsidRDefault="00A144B9">
          <w:pPr>
            <w:pStyle w:val="TOC1"/>
            <w:tabs>
              <w:tab w:val="right" w:leader="dot" w:pos="9350"/>
            </w:tabs>
            <w:rPr>
              <w:rFonts w:eastAsiaTheme="minorEastAsia" w:cstheme="minorBidi"/>
              <w:b w:val="0"/>
              <w:bCs w:val="0"/>
              <w:i w:val="0"/>
              <w:iCs w:val="0"/>
              <w:noProof/>
            </w:rPr>
          </w:pPr>
          <w:hyperlink w:anchor="_Toc72740520" w:history="1">
            <w:r w:rsidRPr="00747B55">
              <w:rPr>
                <w:rStyle w:val="Hyperlink"/>
                <w:rFonts w:cstheme="majorHAnsi"/>
                <w:noProof/>
              </w:rPr>
              <w:t>Example of adding a new unit of measure</w:t>
            </w:r>
            <w:r>
              <w:rPr>
                <w:noProof/>
                <w:webHidden/>
              </w:rPr>
              <w:tab/>
            </w:r>
            <w:r>
              <w:rPr>
                <w:noProof/>
                <w:webHidden/>
              </w:rPr>
              <w:fldChar w:fldCharType="begin"/>
            </w:r>
            <w:r>
              <w:rPr>
                <w:noProof/>
                <w:webHidden/>
              </w:rPr>
              <w:instrText xml:space="preserve"> PAGEREF _Toc72740520 \h </w:instrText>
            </w:r>
            <w:r>
              <w:rPr>
                <w:noProof/>
                <w:webHidden/>
              </w:rPr>
            </w:r>
            <w:r>
              <w:rPr>
                <w:noProof/>
                <w:webHidden/>
              </w:rPr>
              <w:fldChar w:fldCharType="separate"/>
            </w:r>
            <w:r>
              <w:rPr>
                <w:noProof/>
                <w:webHidden/>
              </w:rPr>
              <w:t>14</w:t>
            </w:r>
            <w:r>
              <w:rPr>
                <w:noProof/>
                <w:webHidden/>
              </w:rPr>
              <w:fldChar w:fldCharType="end"/>
            </w:r>
          </w:hyperlink>
        </w:p>
        <w:p w14:paraId="09E84E65" w14:textId="1F4966BB" w:rsidR="00A144B9" w:rsidRDefault="00A144B9">
          <w:pPr>
            <w:pStyle w:val="TOC1"/>
            <w:tabs>
              <w:tab w:val="right" w:leader="dot" w:pos="9350"/>
            </w:tabs>
            <w:rPr>
              <w:rFonts w:eastAsiaTheme="minorEastAsia" w:cstheme="minorBidi"/>
              <w:b w:val="0"/>
              <w:bCs w:val="0"/>
              <w:i w:val="0"/>
              <w:iCs w:val="0"/>
              <w:noProof/>
            </w:rPr>
          </w:pPr>
          <w:hyperlink w:anchor="_Toc72740521" w:history="1">
            <w:r w:rsidRPr="00747B55">
              <w:rPr>
                <w:rStyle w:val="Hyperlink"/>
                <w:rFonts w:cstheme="majorHAnsi"/>
                <w:noProof/>
              </w:rPr>
              <w:t>Comparison with gist 9.6.0</w:t>
            </w:r>
            <w:r>
              <w:rPr>
                <w:noProof/>
                <w:webHidden/>
              </w:rPr>
              <w:tab/>
            </w:r>
            <w:r>
              <w:rPr>
                <w:noProof/>
                <w:webHidden/>
              </w:rPr>
              <w:fldChar w:fldCharType="begin"/>
            </w:r>
            <w:r>
              <w:rPr>
                <w:noProof/>
                <w:webHidden/>
              </w:rPr>
              <w:instrText xml:space="preserve"> PAGEREF _Toc72740521 \h </w:instrText>
            </w:r>
            <w:r>
              <w:rPr>
                <w:noProof/>
                <w:webHidden/>
              </w:rPr>
            </w:r>
            <w:r>
              <w:rPr>
                <w:noProof/>
                <w:webHidden/>
              </w:rPr>
              <w:fldChar w:fldCharType="separate"/>
            </w:r>
            <w:r>
              <w:rPr>
                <w:noProof/>
                <w:webHidden/>
              </w:rPr>
              <w:t>16</w:t>
            </w:r>
            <w:r>
              <w:rPr>
                <w:noProof/>
                <w:webHidden/>
              </w:rPr>
              <w:fldChar w:fldCharType="end"/>
            </w:r>
          </w:hyperlink>
        </w:p>
        <w:p w14:paraId="168DEA64" w14:textId="30143AEE" w:rsidR="00ED7ACF" w:rsidRDefault="00ED7ACF">
          <w:r>
            <w:rPr>
              <w:b/>
              <w:bCs/>
              <w:noProof/>
            </w:rPr>
            <w:fldChar w:fldCharType="end"/>
          </w:r>
        </w:p>
      </w:sdtContent>
    </w:sdt>
    <w:p w14:paraId="162EF079" w14:textId="77777777" w:rsidR="00ED7ACF" w:rsidRDefault="00ED7ACF"/>
    <w:p w14:paraId="111D889E" w14:textId="11DA3866" w:rsidR="00ED7ACF" w:rsidRPr="00ED7ACF" w:rsidRDefault="00ED7ACF" w:rsidP="00ED7ACF">
      <w:pPr>
        <w:pStyle w:val="Heading1"/>
        <w:rPr>
          <w:rFonts w:cstheme="majorHAnsi"/>
          <w:sz w:val="28"/>
          <w:szCs w:val="28"/>
        </w:rPr>
      </w:pPr>
      <w:bookmarkStart w:id="0" w:name="_Toc72740514"/>
      <w:r w:rsidRPr="00ED7ACF">
        <w:rPr>
          <w:rFonts w:cstheme="majorHAnsi"/>
          <w:sz w:val="28"/>
          <w:szCs w:val="28"/>
        </w:rPr>
        <w:t>Motivation and approach</w:t>
      </w:r>
      <w:bookmarkEnd w:id="0"/>
    </w:p>
    <w:p w14:paraId="292B2ECD" w14:textId="6E6959E7" w:rsidR="00ED7ACF" w:rsidRDefault="00ED7ACF"/>
    <w:p w14:paraId="3A8C4592" w14:textId="777673DD" w:rsidR="00CF1225" w:rsidRDefault="002B118B">
      <w:r>
        <w:t>G</w:t>
      </w:r>
      <w:r w:rsidR="00CF1225">
        <w:t xml:space="preserve">ist is the de facto Enterprise ontology, but not yet widely adopted. A simpler version of gist will lower barriers to adoption and help prevent mistakes on the part of users. The objective of the simpler version of </w:t>
      </w:r>
      <w:r w:rsidR="00F131BD">
        <w:t xml:space="preserve">Magnitude and Unit of Measure </w:t>
      </w:r>
      <w:r w:rsidR="00CF1225">
        <w:t>presented here is to make a portion of gist “as simple as possible, but not simpler”.</w:t>
      </w:r>
    </w:p>
    <w:p w14:paraId="1E4501E4" w14:textId="77777777" w:rsidR="00CF1225" w:rsidRDefault="00CF1225"/>
    <w:p w14:paraId="5AAAD5E6" w14:textId="3255BD1E" w:rsidR="00ED7ACF" w:rsidRDefault="00ED7ACF">
      <w:r>
        <w:t xml:space="preserve">This simpler version of gist Magnitude and Unit of Measure originated from training exercises and the process of learning gist 9.6.0. A student of gist (like myself) can find the </w:t>
      </w:r>
      <w:r w:rsidR="00315EB2">
        <w:t xml:space="preserve">meaning of the </w:t>
      </w:r>
      <w:r>
        <w:t>following terms difficult to remember</w:t>
      </w:r>
      <w:r w:rsidR="00315EB2">
        <w:t xml:space="preserve"> and apply correctly:</w:t>
      </w:r>
    </w:p>
    <w:p w14:paraId="75F1DE6E" w14:textId="5AEF0756" w:rsidR="00ED7ACF" w:rsidRDefault="00ED7ACF"/>
    <w:p w14:paraId="1EF9654E" w14:textId="2B82A6A5" w:rsidR="00ED7ACF" w:rsidRDefault="00ED7ACF" w:rsidP="00ED7ACF">
      <w:pPr>
        <w:ind w:left="720"/>
      </w:pPr>
      <w:r>
        <w:t>has</w:t>
      </w:r>
      <w:r w:rsidR="004C3D6C">
        <w:t xml:space="preserve"> </w:t>
      </w:r>
      <w:proofErr w:type="spellStart"/>
      <w:r>
        <w:t>StandardUnit</w:t>
      </w:r>
      <w:proofErr w:type="spellEnd"/>
      <w:r>
        <w:t xml:space="preserve"> (whose value is a coherent unit)</w:t>
      </w:r>
    </w:p>
    <w:p w14:paraId="50ACA5A3" w14:textId="1457D1A5" w:rsidR="00ED7ACF" w:rsidRDefault="00ED7ACF" w:rsidP="00ED7ACF">
      <w:pPr>
        <w:ind w:left="720"/>
      </w:pPr>
      <w:proofErr w:type="spellStart"/>
      <w:r>
        <w:t>convertToStandard</w:t>
      </w:r>
      <w:proofErr w:type="spellEnd"/>
      <w:r>
        <w:t xml:space="preserve"> (used to convert </w:t>
      </w:r>
      <w:r w:rsidR="004C3D6C">
        <w:t>to a coherent unit)</w:t>
      </w:r>
    </w:p>
    <w:p w14:paraId="08126A15" w14:textId="474FD6F1" w:rsidR="004C3D6C" w:rsidRDefault="004C3D6C" w:rsidP="00ED7ACF">
      <w:pPr>
        <w:ind w:left="720"/>
      </w:pPr>
      <w:r>
        <w:t>simple unit</w:t>
      </w:r>
    </w:p>
    <w:p w14:paraId="5CF5B158" w14:textId="57A16F3D" w:rsidR="004C3D6C" w:rsidRDefault="004C3D6C" w:rsidP="00ED7ACF">
      <w:pPr>
        <w:ind w:left="720"/>
      </w:pPr>
      <w:r>
        <w:t>base unit</w:t>
      </w:r>
    </w:p>
    <w:p w14:paraId="76C1CC8A" w14:textId="31A67454" w:rsidR="004C3D6C" w:rsidRDefault="004C3D6C" w:rsidP="00ED7ACF">
      <w:pPr>
        <w:ind w:left="720"/>
      </w:pPr>
      <w:r>
        <w:t>product unit</w:t>
      </w:r>
    </w:p>
    <w:p w14:paraId="59C994A7" w14:textId="331C5A84" w:rsidR="004C3D6C" w:rsidRDefault="004C3D6C" w:rsidP="00ED7ACF">
      <w:pPr>
        <w:ind w:left="720"/>
      </w:pPr>
      <w:r>
        <w:t>ratio unit</w:t>
      </w:r>
    </w:p>
    <w:p w14:paraId="61C93E5C" w14:textId="40BF80CB" w:rsidR="004C3D6C" w:rsidRDefault="004C3D6C" w:rsidP="00ED7ACF">
      <w:pPr>
        <w:ind w:left="720"/>
      </w:pPr>
      <w:r>
        <w:t>coherent product unit</w:t>
      </w:r>
    </w:p>
    <w:p w14:paraId="0DBCBE52" w14:textId="6164C104" w:rsidR="004C3D6C" w:rsidRDefault="004C3D6C" w:rsidP="00ED7ACF">
      <w:pPr>
        <w:ind w:left="720"/>
      </w:pPr>
      <w:r>
        <w:t>coherent ratio unit</w:t>
      </w:r>
    </w:p>
    <w:p w14:paraId="714D8F51" w14:textId="6637BAB2" w:rsidR="009B0B4D" w:rsidRDefault="009B0B4D" w:rsidP="00ED7ACF">
      <w:pPr>
        <w:ind w:left="720"/>
      </w:pPr>
      <w:r>
        <w:t>multiplier</w:t>
      </w:r>
    </w:p>
    <w:p w14:paraId="03021E47" w14:textId="67A47379" w:rsidR="009B0B4D" w:rsidRDefault="009B0B4D" w:rsidP="00ED7ACF">
      <w:pPr>
        <w:ind w:left="720"/>
      </w:pPr>
      <w:r>
        <w:t>multiplicand</w:t>
      </w:r>
    </w:p>
    <w:p w14:paraId="2AEEE63C" w14:textId="77FEF4F6" w:rsidR="009B0B4D" w:rsidRDefault="009B0B4D" w:rsidP="00ED7ACF">
      <w:pPr>
        <w:ind w:left="720"/>
      </w:pPr>
      <w:r>
        <w:t>etc.</w:t>
      </w:r>
    </w:p>
    <w:p w14:paraId="152DADF2" w14:textId="673563E1" w:rsidR="004C3D6C" w:rsidRDefault="004C3D6C" w:rsidP="004C3D6C">
      <w:pPr>
        <w:ind w:left="720"/>
      </w:pPr>
    </w:p>
    <w:p w14:paraId="06459E16" w14:textId="00505509" w:rsidR="004C3D6C" w:rsidRDefault="004C3D6C" w:rsidP="004C3D6C">
      <w:pPr>
        <w:ind w:left="720"/>
      </w:pPr>
      <w:r>
        <w:t>The terms standard, base, and simple, for example, can tend to blur together</w:t>
      </w:r>
      <w:r w:rsidR="009B0B4D">
        <w:t xml:space="preserve"> between visits to the definitions</w:t>
      </w:r>
      <w:r>
        <w:t>.</w:t>
      </w:r>
      <w:r w:rsidR="00F17B77">
        <w:t xml:space="preserve"> Parsing complex units using multiplication and division can also be somewhat awkward</w:t>
      </w:r>
      <w:r w:rsidR="000F76D8">
        <w:t xml:space="preserve"> and turns out to be problematic for other reasons.</w:t>
      </w:r>
    </w:p>
    <w:p w14:paraId="533CBFE3" w14:textId="77777777" w:rsidR="004C3D6C" w:rsidRDefault="004C3D6C" w:rsidP="004C3D6C">
      <w:pPr>
        <w:ind w:left="720"/>
      </w:pPr>
    </w:p>
    <w:p w14:paraId="302113E4" w14:textId="006E27F6" w:rsidR="004C3D6C" w:rsidRDefault="00315EB2" w:rsidP="004C3D6C">
      <w:r>
        <w:t>In search of a simpler model, the</w:t>
      </w:r>
      <w:r w:rsidR="004C3D6C">
        <w:t xml:space="preserve"> approach taken </w:t>
      </w:r>
      <w:r>
        <w:t xml:space="preserve">to </w:t>
      </w:r>
      <w:r w:rsidR="004C3D6C">
        <w:t xml:space="preserve">was to understand gist 9.6.0, read online literature about the International System of Units and </w:t>
      </w:r>
      <w:r w:rsidR="00E26528">
        <w:t xml:space="preserve">the </w:t>
      </w:r>
      <w:r w:rsidR="000F76D8">
        <w:t xml:space="preserve">QUDT </w:t>
      </w:r>
      <w:r w:rsidR="00E26528">
        <w:t>ontolog</w:t>
      </w:r>
      <w:r w:rsidR="008C0423">
        <w:t>y</w:t>
      </w:r>
      <w:r w:rsidR="000F76D8">
        <w:t xml:space="preserve"> (</w:t>
      </w:r>
      <w:r w:rsidR="004C3D6C">
        <w:t>Q</w:t>
      </w:r>
      <w:r w:rsidR="00E26528">
        <w:t xml:space="preserve">uantities, Units, Dimensions, and Types </w:t>
      </w:r>
      <w:r w:rsidR="004C3D6C">
        <w:t>originating with NASA), and then from the ground up try to construct the simplest possible representation of Magnitudes and Units of Measure that would work.</w:t>
      </w:r>
    </w:p>
    <w:p w14:paraId="2B7EC75B" w14:textId="39B2C7E6" w:rsidR="004C3D6C" w:rsidRDefault="004C3D6C" w:rsidP="004C3D6C"/>
    <w:p w14:paraId="1AAB943B" w14:textId="1BDB265D" w:rsidR="004C3D6C" w:rsidRDefault="004C3D6C" w:rsidP="004C3D6C">
      <w:r>
        <w:t>The result</w:t>
      </w:r>
      <w:r w:rsidR="00315EB2">
        <w:t>ing proposal</w:t>
      </w:r>
      <w:r>
        <w:t xml:space="preserve"> has 15 concepts instead of the 55 in gist 9.6.0.</w:t>
      </w:r>
      <w:r w:rsidR="0064754E">
        <w:t xml:space="preserve"> A later section of this document gives a detailed comparison.</w:t>
      </w:r>
    </w:p>
    <w:p w14:paraId="0FB6091E" w14:textId="55886F5B" w:rsidR="004C3D6C" w:rsidRDefault="004C3D6C" w:rsidP="004C3D6C"/>
    <w:p w14:paraId="6E24DD62" w14:textId="2BCCF27C" w:rsidR="004C3D6C" w:rsidRDefault="004C3D6C" w:rsidP="004C3D6C">
      <w:r>
        <w:t xml:space="preserve">But of course, it’s only an improvement if it works; </w:t>
      </w:r>
      <w:r w:rsidR="0064754E">
        <w:t>a large part of this document goes into the detail needed to evaluate how well it meets the need.</w:t>
      </w:r>
      <w:r w:rsidR="00E72DF5">
        <w:t xml:space="preserve"> </w:t>
      </w:r>
    </w:p>
    <w:p w14:paraId="4112B0E8" w14:textId="05198DD3" w:rsidR="00A02572" w:rsidRDefault="00A02572" w:rsidP="004C3D6C"/>
    <w:p w14:paraId="1FD95EA7" w14:textId="466EDE0B" w:rsidR="00A02572" w:rsidRPr="00ED7ACF" w:rsidRDefault="00A02572" w:rsidP="00A02572">
      <w:pPr>
        <w:pStyle w:val="Heading1"/>
        <w:rPr>
          <w:rFonts w:cstheme="majorHAnsi"/>
          <w:sz w:val="28"/>
          <w:szCs w:val="28"/>
        </w:rPr>
      </w:pPr>
      <w:bookmarkStart w:id="1" w:name="_Toc72740515"/>
      <w:r w:rsidRPr="00ED7ACF">
        <w:rPr>
          <w:rFonts w:cstheme="majorHAnsi"/>
          <w:sz w:val="28"/>
          <w:szCs w:val="28"/>
        </w:rPr>
        <w:t xml:space="preserve">Summary of </w:t>
      </w:r>
      <w:r>
        <w:rPr>
          <w:rFonts w:cstheme="majorHAnsi"/>
          <w:sz w:val="28"/>
          <w:szCs w:val="28"/>
        </w:rPr>
        <w:t>improvements</w:t>
      </w:r>
      <w:bookmarkEnd w:id="1"/>
    </w:p>
    <w:p w14:paraId="7110F964" w14:textId="77777777" w:rsidR="00A02572" w:rsidRDefault="00A02572" w:rsidP="00A02572"/>
    <w:p w14:paraId="333C7188" w14:textId="4C282681" w:rsidR="00A02572" w:rsidRDefault="00A02572" w:rsidP="00A02572">
      <w:r>
        <w:t>The bottoms-up analysis has identified what appear to be latent issues with gist 9.6.0. If these are framed as requirements, the list is:</w:t>
      </w:r>
    </w:p>
    <w:p w14:paraId="30DC4027" w14:textId="3B5A0731" w:rsidR="00A02572" w:rsidRDefault="00A02572" w:rsidP="00A02572"/>
    <w:p w14:paraId="07D2C4F6" w14:textId="23679050" w:rsidR="00A02572" w:rsidRDefault="00A02572" w:rsidP="00A02572">
      <w:pPr>
        <w:pStyle w:val="ListParagraph"/>
        <w:numPr>
          <w:ilvl w:val="0"/>
          <w:numId w:val="7"/>
        </w:numPr>
      </w:pPr>
      <w:r>
        <w:t xml:space="preserve">support a full range of units, including </w:t>
      </w:r>
      <w:r w:rsidR="00FE04C7">
        <w:t xml:space="preserve">business metrics, business KPIs, units used to define and manage products and services, and units for </w:t>
      </w:r>
      <w:r>
        <w:t>science and engineering (a subset is included in the International System of Units).</w:t>
      </w:r>
    </w:p>
    <w:p w14:paraId="03E39B51" w14:textId="3960086D" w:rsidR="00A02572" w:rsidRDefault="00FE04C7" w:rsidP="002B118B">
      <w:pPr>
        <w:pStyle w:val="ListParagraph"/>
        <w:numPr>
          <w:ilvl w:val="0"/>
          <w:numId w:val="7"/>
        </w:numPr>
      </w:pPr>
      <w:r>
        <w:t>address the issue raised in the International System of Units: “several different quantities may share the same SI unit”</w:t>
      </w:r>
      <w:r w:rsidR="002B118B">
        <w:t xml:space="preserve"> and similar cases such as </w:t>
      </w:r>
      <w:r w:rsidR="00A02572">
        <w:t>mean-time-to-repair and mean-time-between-failures</w:t>
      </w:r>
      <w:r w:rsidR="002B118B">
        <w:t xml:space="preserve"> share the same SI unit</w:t>
      </w:r>
      <w:r w:rsidR="00A02572">
        <w:t>. Another example is width, height, and depth of kitchen cabinets</w:t>
      </w:r>
      <w:r w:rsidR="002B118B">
        <w:t xml:space="preserve"> share the same SI unit</w:t>
      </w:r>
      <w:r w:rsidR="00A02572">
        <w:t>.</w:t>
      </w:r>
    </w:p>
    <w:p w14:paraId="179A9BD8" w14:textId="53F9374E" w:rsidR="00A02572" w:rsidRDefault="00A02572" w:rsidP="00A02572">
      <w:pPr>
        <w:pStyle w:val="ListParagraph"/>
        <w:numPr>
          <w:ilvl w:val="0"/>
          <w:numId w:val="7"/>
        </w:numPr>
      </w:pPr>
      <w:r>
        <w:t xml:space="preserve">do not require new classes to be created for each business metric. Do not require any new classes to be </w:t>
      </w:r>
      <w:proofErr w:type="gramStart"/>
      <w:r>
        <w:t>created, unless</w:t>
      </w:r>
      <w:proofErr w:type="gramEnd"/>
      <w:r>
        <w:t xml:space="preserve"> a user finds it useful for maintaining </w:t>
      </w:r>
      <w:r w:rsidR="00552B36">
        <w:t xml:space="preserve">a </w:t>
      </w:r>
      <w:r>
        <w:t>taxonomy</w:t>
      </w:r>
      <w:r w:rsidR="00FE04C7">
        <w:t xml:space="preserve"> of aspects (or possibly units)</w:t>
      </w:r>
      <w:r>
        <w:t>.</w:t>
      </w:r>
    </w:p>
    <w:p w14:paraId="06844EEB" w14:textId="2E3A7131" w:rsidR="00A02572" w:rsidRDefault="00A02572" w:rsidP="00A02572">
      <w:pPr>
        <w:pStyle w:val="ListParagraph"/>
        <w:numPr>
          <w:ilvl w:val="0"/>
          <w:numId w:val="7"/>
        </w:numPr>
      </w:pPr>
      <w:r>
        <w:t>allow the numerical value of a magnitude to be fractional, e.g.  1/3 of an acre</w:t>
      </w:r>
    </w:p>
    <w:p w14:paraId="13152937" w14:textId="299531CC" w:rsidR="00A02572" w:rsidRDefault="00A02572" w:rsidP="00A02572">
      <w:pPr>
        <w:pStyle w:val="ListParagraph"/>
        <w:numPr>
          <w:ilvl w:val="0"/>
          <w:numId w:val="7"/>
        </w:numPr>
      </w:pPr>
      <w:r>
        <w:t>allow conversion factors to be fractional</w:t>
      </w:r>
    </w:p>
    <w:p w14:paraId="2B4B181B" w14:textId="325CECF0" w:rsidR="00A02572" w:rsidRDefault="00A02572" w:rsidP="00A02572">
      <w:pPr>
        <w:pStyle w:val="ListParagraph"/>
        <w:numPr>
          <w:ilvl w:val="0"/>
          <w:numId w:val="7"/>
        </w:numPr>
      </w:pPr>
      <w:r>
        <w:t xml:space="preserve">if decomposition </w:t>
      </w:r>
      <w:r w:rsidR="00C47919">
        <w:t>to base units is needed, support fractional exponents (fluid dynamics)</w:t>
      </w:r>
    </w:p>
    <w:p w14:paraId="31FA8BAE" w14:textId="4C40DE52" w:rsidR="00C47919" w:rsidRDefault="00C47919" w:rsidP="00A02572">
      <w:pPr>
        <w:pStyle w:val="ListParagraph"/>
        <w:numPr>
          <w:ilvl w:val="0"/>
          <w:numId w:val="7"/>
        </w:numPr>
      </w:pPr>
      <w:r>
        <w:t>provide simple rules for determining what calculations may be done on a collection of magnitudes</w:t>
      </w:r>
    </w:p>
    <w:p w14:paraId="000FBC89" w14:textId="6F9DDB9C" w:rsidR="00C47919" w:rsidRDefault="00C47919" w:rsidP="00A02572">
      <w:pPr>
        <w:pStyle w:val="ListParagraph"/>
        <w:numPr>
          <w:ilvl w:val="0"/>
          <w:numId w:val="7"/>
        </w:numPr>
      </w:pPr>
      <w:r>
        <w:t>provide a standard way to represent average and standard deviation</w:t>
      </w:r>
    </w:p>
    <w:p w14:paraId="15FED820" w14:textId="23C43826" w:rsidR="00C47919" w:rsidRDefault="00C47919" w:rsidP="00A02572">
      <w:pPr>
        <w:pStyle w:val="ListParagraph"/>
        <w:numPr>
          <w:ilvl w:val="0"/>
          <w:numId w:val="7"/>
        </w:numPr>
      </w:pPr>
      <w:r>
        <w:t>allow a magnitude to refer to an external taxonomy to describe what type of measurement it includes</w:t>
      </w:r>
    </w:p>
    <w:p w14:paraId="39AAD0FD" w14:textId="4D0A2102" w:rsidR="00C47919" w:rsidRDefault="00C47919" w:rsidP="00A02572">
      <w:pPr>
        <w:pStyle w:val="ListParagraph"/>
        <w:numPr>
          <w:ilvl w:val="0"/>
          <w:numId w:val="7"/>
        </w:numPr>
      </w:pPr>
      <w:r>
        <w:t>make sure fractions and percentages can be accompanied by information about “what is a fraction of what” or “what is a percentage of what”</w:t>
      </w:r>
    </w:p>
    <w:p w14:paraId="18A12092" w14:textId="48750512" w:rsidR="00C47919" w:rsidRDefault="00C47919" w:rsidP="00A02572">
      <w:pPr>
        <w:pStyle w:val="ListParagraph"/>
        <w:numPr>
          <w:ilvl w:val="0"/>
          <w:numId w:val="7"/>
        </w:numPr>
      </w:pPr>
      <w:r>
        <w:t>support scales that involve scores like net promoter score</w:t>
      </w:r>
    </w:p>
    <w:p w14:paraId="4C506578" w14:textId="28761859" w:rsidR="00F278E2" w:rsidRDefault="00F278E2" w:rsidP="00A02572">
      <w:pPr>
        <w:pStyle w:val="ListParagraph"/>
        <w:numPr>
          <w:ilvl w:val="0"/>
          <w:numId w:val="7"/>
        </w:numPr>
      </w:pPr>
      <w:r>
        <w:t>align with the latest version of the International System of Units</w:t>
      </w:r>
    </w:p>
    <w:p w14:paraId="5590E15A" w14:textId="1AE51450" w:rsidR="00FE04C7" w:rsidRDefault="00FE04C7" w:rsidP="00A02572">
      <w:pPr>
        <w:pStyle w:val="ListParagraph"/>
        <w:numPr>
          <w:ilvl w:val="0"/>
          <w:numId w:val="7"/>
        </w:numPr>
      </w:pPr>
      <w:r>
        <w:lastRenderedPageBreak/>
        <w:t xml:space="preserve">improve </w:t>
      </w:r>
      <w:r w:rsidR="009A5348">
        <w:t>annotations</w:t>
      </w:r>
    </w:p>
    <w:p w14:paraId="3AC1F69E" w14:textId="47386946" w:rsidR="00C47919" w:rsidRDefault="00C47919" w:rsidP="00C47919"/>
    <w:p w14:paraId="5A2B6CAF" w14:textId="6D03AB24" w:rsidR="00C47919" w:rsidRDefault="00C47919" w:rsidP="00C47919">
      <w:r>
        <w:t>There may be many ways to support these requirements. In the following proposal, the way they are supported is as follows:</w:t>
      </w:r>
    </w:p>
    <w:p w14:paraId="40C9857B" w14:textId="77777777" w:rsidR="00FE04C7" w:rsidRDefault="00FE04C7" w:rsidP="00C47919"/>
    <w:p w14:paraId="5CFD848C" w14:textId="17D183D7" w:rsidR="00C47919" w:rsidRDefault="00C47919" w:rsidP="00FE04C7">
      <w:pPr>
        <w:pStyle w:val="ListParagraph"/>
        <w:numPr>
          <w:ilvl w:val="0"/>
          <w:numId w:val="9"/>
        </w:numPr>
      </w:pPr>
      <w:r>
        <w:t xml:space="preserve">use the Aspect class to identify what characteristic is being measured: supports </w:t>
      </w:r>
      <w:r w:rsidR="00FE04C7">
        <w:t>1, 2, 3, 8</w:t>
      </w:r>
      <w:r w:rsidR="002B118B">
        <w:t>, 9</w:t>
      </w:r>
    </w:p>
    <w:p w14:paraId="6F3649BD" w14:textId="617B1F0F" w:rsidR="00C47919" w:rsidRDefault="00C47919" w:rsidP="00FE04C7">
      <w:pPr>
        <w:pStyle w:val="ListParagraph"/>
        <w:numPr>
          <w:ilvl w:val="0"/>
          <w:numId w:val="9"/>
        </w:numPr>
      </w:pPr>
      <w:r>
        <w:t xml:space="preserve">introduce </w:t>
      </w:r>
      <w:proofErr w:type="spellStart"/>
      <w:r>
        <w:t>numericalValue</w:t>
      </w:r>
      <w:proofErr w:type="spellEnd"/>
      <w:r>
        <w:t xml:space="preserve"> to allow fractional values</w:t>
      </w:r>
      <w:r w:rsidR="00F278E2">
        <w:t xml:space="preserve"> (new property proposed by Michael </w:t>
      </w:r>
      <w:proofErr w:type="spellStart"/>
      <w:r w:rsidR="00F278E2">
        <w:t>Uschold</w:t>
      </w:r>
      <w:proofErr w:type="spellEnd"/>
      <w:r w:rsidR="00F278E2">
        <w:t>)</w:t>
      </w:r>
      <w:r>
        <w:t>: supports</w:t>
      </w:r>
      <w:r w:rsidR="00F278E2">
        <w:t xml:space="preserve"> </w:t>
      </w:r>
      <w:r w:rsidR="00FE04C7">
        <w:t>4</w:t>
      </w:r>
    </w:p>
    <w:p w14:paraId="0BEC09EA" w14:textId="39C94875" w:rsidR="00F278E2" w:rsidRDefault="00C47919" w:rsidP="00FE04C7">
      <w:pPr>
        <w:pStyle w:val="ListParagraph"/>
        <w:numPr>
          <w:ilvl w:val="0"/>
          <w:numId w:val="9"/>
        </w:numPr>
      </w:pPr>
      <w:r>
        <w:t xml:space="preserve">define standard unit as having a distinct physical </w:t>
      </w:r>
      <w:proofErr w:type="gramStart"/>
      <w:r>
        <w:t>meaning</w:t>
      </w:r>
      <w:r w:rsidR="00F278E2">
        <w:t>:</w:t>
      </w:r>
      <w:proofErr w:type="gramEnd"/>
      <w:r w:rsidR="00F278E2">
        <w:t xml:space="preserve"> supports </w:t>
      </w:r>
      <w:r w:rsidR="00FE04C7">
        <w:t>2</w:t>
      </w:r>
    </w:p>
    <w:p w14:paraId="2EE1E64D" w14:textId="26DA6615" w:rsidR="00C47919" w:rsidRDefault="00F278E2" w:rsidP="00FE04C7">
      <w:pPr>
        <w:pStyle w:val="ListParagraph"/>
        <w:numPr>
          <w:ilvl w:val="0"/>
          <w:numId w:val="9"/>
        </w:numPr>
      </w:pPr>
      <w:r>
        <w:t xml:space="preserve">if decomposition to base units is needed, do it as a product of powers: </w:t>
      </w:r>
      <w:r w:rsidR="00FE04C7">
        <w:t>6</w:t>
      </w:r>
    </w:p>
    <w:p w14:paraId="765ACD32" w14:textId="238AEAEE" w:rsidR="00F278E2" w:rsidRDefault="00F278E2" w:rsidP="00FE04C7">
      <w:pPr>
        <w:pStyle w:val="ListParagraph"/>
        <w:numPr>
          <w:ilvl w:val="0"/>
          <w:numId w:val="9"/>
        </w:numPr>
      </w:pPr>
      <w:r>
        <w:t xml:space="preserve">expand the range of </w:t>
      </w:r>
      <w:proofErr w:type="spellStart"/>
      <w:r>
        <w:t>conversionFactor</w:t>
      </w:r>
      <w:proofErr w:type="spellEnd"/>
      <w:r>
        <w:t xml:space="preserve">: supports </w:t>
      </w:r>
      <w:r w:rsidR="00FE04C7">
        <w:t>5</w:t>
      </w:r>
    </w:p>
    <w:p w14:paraId="4A6BDE2B" w14:textId="0173DB17" w:rsidR="00F278E2" w:rsidRDefault="00F278E2" w:rsidP="00FE04C7">
      <w:pPr>
        <w:pStyle w:val="ListParagraph"/>
        <w:numPr>
          <w:ilvl w:val="0"/>
          <w:numId w:val="9"/>
        </w:numPr>
      </w:pPr>
      <w:r>
        <w:t xml:space="preserve">remove the class for base </w:t>
      </w:r>
      <w:proofErr w:type="gramStart"/>
      <w:r>
        <w:t>units:</w:t>
      </w:r>
      <w:proofErr w:type="gramEnd"/>
      <w:r>
        <w:t xml:space="preserve"> supports</w:t>
      </w:r>
      <w:r w:rsidR="00FE04C7">
        <w:t xml:space="preserve"> 12</w:t>
      </w:r>
    </w:p>
    <w:p w14:paraId="18EC49C4" w14:textId="2502B403" w:rsidR="00F278E2" w:rsidRDefault="00F278E2" w:rsidP="00FE04C7">
      <w:pPr>
        <w:pStyle w:val="ListParagraph"/>
        <w:numPr>
          <w:ilvl w:val="0"/>
          <w:numId w:val="9"/>
        </w:numPr>
      </w:pPr>
      <w:r>
        <w:t>Rename “each” to “one”: supports</w:t>
      </w:r>
      <w:r w:rsidR="00FE04C7">
        <w:t xml:space="preserve"> 12</w:t>
      </w:r>
    </w:p>
    <w:p w14:paraId="79D8944A" w14:textId="7C8CAFFD" w:rsidR="00F278E2" w:rsidRDefault="00F278E2" w:rsidP="00FE04C7">
      <w:pPr>
        <w:pStyle w:val="ListParagraph"/>
        <w:numPr>
          <w:ilvl w:val="0"/>
          <w:numId w:val="9"/>
        </w:numPr>
      </w:pPr>
      <w:r>
        <w:t xml:space="preserve">Fix description of </w:t>
      </w:r>
      <w:proofErr w:type="gramStart"/>
      <w:r>
        <w:t>Magnitude</w:t>
      </w:r>
      <w:r w:rsidR="00FE04C7">
        <w:t>:</w:t>
      </w:r>
      <w:proofErr w:type="gramEnd"/>
      <w:r w:rsidR="00FE04C7">
        <w:t xml:space="preserve"> </w:t>
      </w:r>
      <w:r w:rsidR="002B118B">
        <w:t>supports 13</w:t>
      </w:r>
    </w:p>
    <w:p w14:paraId="3CFF09BD" w14:textId="7D6FE765" w:rsidR="00F278E2" w:rsidRDefault="00F278E2" w:rsidP="00FE04C7">
      <w:pPr>
        <w:pStyle w:val="ListParagraph"/>
        <w:numPr>
          <w:ilvl w:val="0"/>
          <w:numId w:val="9"/>
        </w:numPr>
      </w:pPr>
      <w:r>
        <w:t>Fix example of conversion from Fahrenheit to Kelvin (one place says to add the offset, and then the example shows it being subtracted)</w:t>
      </w:r>
      <w:r w:rsidR="002B118B">
        <w:t>: supports 13</w:t>
      </w:r>
    </w:p>
    <w:p w14:paraId="312175C3" w14:textId="0DCE05FD" w:rsidR="00FE04C7" w:rsidRDefault="00FE04C7" w:rsidP="00FE04C7">
      <w:pPr>
        <w:pStyle w:val="ListParagraph"/>
        <w:numPr>
          <w:ilvl w:val="0"/>
          <w:numId w:val="9"/>
        </w:numPr>
      </w:pPr>
      <w:r>
        <w:t xml:space="preserve">Document “math rules” either in </w:t>
      </w:r>
      <w:proofErr w:type="spellStart"/>
      <w:r>
        <w:t>scopeNotes</w:t>
      </w:r>
      <w:proofErr w:type="spellEnd"/>
      <w:r>
        <w:t xml:space="preserve"> or supplementary </w:t>
      </w:r>
      <w:proofErr w:type="gramStart"/>
      <w:r>
        <w:t>documentation:</w:t>
      </w:r>
      <w:proofErr w:type="gramEnd"/>
      <w:r>
        <w:t xml:space="preserve"> supports 7</w:t>
      </w:r>
      <w:r w:rsidR="002B118B">
        <w:t>, 13</w:t>
      </w:r>
    </w:p>
    <w:p w14:paraId="33C86FE3" w14:textId="016C4636" w:rsidR="002B118B" w:rsidRDefault="002B118B" w:rsidP="00FE04C7">
      <w:pPr>
        <w:pStyle w:val="ListParagraph"/>
        <w:numPr>
          <w:ilvl w:val="0"/>
          <w:numId w:val="9"/>
        </w:numPr>
      </w:pPr>
      <w:proofErr w:type="spellStart"/>
      <w:r>
        <w:t>tbd</w:t>
      </w:r>
      <w:proofErr w:type="spellEnd"/>
      <w:r>
        <w:t xml:space="preserve">: 10   </w:t>
      </w:r>
    </w:p>
    <w:p w14:paraId="40628D73" w14:textId="77777777" w:rsidR="00A02572" w:rsidRDefault="00A02572" w:rsidP="004C3D6C"/>
    <w:p w14:paraId="067FA9CD" w14:textId="77777777" w:rsidR="00E72DF5" w:rsidRDefault="00E72DF5" w:rsidP="00BA4DA0"/>
    <w:p w14:paraId="4B06D2D4" w14:textId="65E015AC" w:rsidR="00ED7ACF" w:rsidRPr="00ED7ACF" w:rsidRDefault="00ED7ACF" w:rsidP="00ED7ACF">
      <w:pPr>
        <w:pStyle w:val="Heading1"/>
        <w:rPr>
          <w:rFonts w:cstheme="majorHAnsi"/>
          <w:sz w:val="28"/>
          <w:szCs w:val="28"/>
        </w:rPr>
      </w:pPr>
      <w:bookmarkStart w:id="2" w:name="_Toc72740516"/>
      <w:r w:rsidRPr="00ED7ACF">
        <w:rPr>
          <w:rFonts w:cstheme="majorHAnsi"/>
          <w:sz w:val="28"/>
          <w:szCs w:val="28"/>
        </w:rPr>
        <w:t xml:space="preserve">Summary of </w:t>
      </w:r>
      <w:r w:rsidR="00315EB2">
        <w:rPr>
          <w:rFonts w:cstheme="majorHAnsi"/>
          <w:sz w:val="28"/>
          <w:szCs w:val="28"/>
        </w:rPr>
        <w:t>the p</w:t>
      </w:r>
      <w:r w:rsidRPr="00ED7ACF">
        <w:rPr>
          <w:rFonts w:cstheme="majorHAnsi"/>
          <w:sz w:val="28"/>
          <w:szCs w:val="28"/>
        </w:rPr>
        <w:t>roposal</w:t>
      </w:r>
      <w:bookmarkEnd w:id="2"/>
    </w:p>
    <w:p w14:paraId="36ECDD8D" w14:textId="1DFB6C8A" w:rsidR="00ED7ACF" w:rsidRDefault="00ED7ACF"/>
    <w:p w14:paraId="517FAAA5" w14:textId="786C7B7B" w:rsidR="004C3D6C" w:rsidRDefault="004C3D6C">
      <w:r>
        <w:t xml:space="preserve">The </w:t>
      </w:r>
      <w:r w:rsidR="0064754E">
        <w:t>concepts are as follows:</w:t>
      </w:r>
    </w:p>
    <w:p w14:paraId="0A328072" w14:textId="4E7639D4" w:rsidR="0064754E" w:rsidRDefault="0064754E"/>
    <w:p w14:paraId="28955E7F" w14:textId="4BC952E8" w:rsidR="0064754E" w:rsidRDefault="0064754E" w:rsidP="0064754E">
      <w:pPr>
        <w:ind w:left="720"/>
      </w:pPr>
      <w:r w:rsidRPr="00D37548">
        <w:rPr>
          <w:i/>
          <w:iCs/>
        </w:rPr>
        <w:t>Magnitude</w:t>
      </w:r>
      <w:r>
        <w:t xml:space="preserve"> is a simple concept </w:t>
      </w:r>
      <w:r w:rsidR="00AB1C57">
        <w:t xml:space="preserve">that is easier </w:t>
      </w:r>
      <w:r>
        <w:t>to use</w:t>
      </w:r>
      <w:r w:rsidR="00AB1C57">
        <w:t xml:space="preserve"> than it is to explain.</w:t>
      </w:r>
      <w:r w:rsidR="00315EB2">
        <w:t xml:space="preserve"> In</w:t>
      </w:r>
      <w:r>
        <w:t xml:space="preserve"> each example</w:t>
      </w:r>
      <w:r w:rsidR="00315EB2">
        <w:t xml:space="preserve"> below</w:t>
      </w:r>
      <w:r>
        <w:t>, the magnitude is underlined:</w:t>
      </w:r>
    </w:p>
    <w:p w14:paraId="440E65DF" w14:textId="7766F759" w:rsidR="0064754E" w:rsidRDefault="0064754E" w:rsidP="0064754E">
      <w:pPr>
        <w:ind w:left="720"/>
      </w:pPr>
    </w:p>
    <w:p w14:paraId="442BFB48" w14:textId="69D9F996" w:rsidR="0064754E" w:rsidRDefault="0064754E" w:rsidP="0064754E">
      <w:pPr>
        <w:ind w:left="1440"/>
      </w:pPr>
      <w:r>
        <w:t xml:space="preserve">“The </w:t>
      </w:r>
      <w:r w:rsidRPr="0064754E">
        <w:rPr>
          <w:i/>
          <w:iCs/>
          <w:u w:val="single"/>
        </w:rPr>
        <w:t>size of lot #2176</w:t>
      </w:r>
      <w:r>
        <w:t xml:space="preserve"> is 1/3 of an acre.”</w:t>
      </w:r>
    </w:p>
    <w:p w14:paraId="6A48EDBE" w14:textId="0AD594B4" w:rsidR="0064754E" w:rsidRDefault="0064754E" w:rsidP="0064754E">
      <w:pPr>
        <w:ind w:left="1440"/>
      </w:pPr>
    </w:p>
    <w:p w14:paraId="3EB6687A" w14:textId="6EEBA3DA" w:rsidR="0064754E" w:rsidRDefault="0064754E" w:rsidP="0064754E">
      <w:pPr>
        <w:ind w:left="1440"/>
      </w:pPr>
      <w:r>
        <w:t xml:space="preserve">“The </w:t>
      </w:r>
      <w:r w:rsidRPr="0064754E">
        <w:rPr>
          <w:i/>
          <w:iCs/>
          <w:u w:val="single"/>
        </w:rPr>
        <w:t>size of the audience for the show</w:t>
      </w:r>
      <w:r>
        <w:t xml:space="preserve"> </w:t>
      </w:r>
      <w:r w:rsidR="00453B51">
        <w:t>wa</w:t>
      </w:r>
      <w:r>
        <w:t xml:space="preserve">s estimated </w:t>
      </w:r>
      <w:r w:rsidR="00453B51">
        <w:t>as</w:t>
      </w:r>
      <w:r>
        <w:t xml:space="preserve"> 3 million viewers.”</w:t>
      </w:r>
    </w:p>
    <w:p w14:paraId="2B3EF0CD" w14:textId="28A8ABAF" w:rsidR="0064754E" w:rsidRDefault="0064754E" w:rsidP="0064754E">
      <w:pPr>
        <w:ind w:left="1440"/>
      </w:pPr>
    </w:p>
    <w:p w14:paraId="69CF2FCA" w14:textId="4AEB12C4" w:rsidR="0064754E" w:rsidRDefault="0064754E" w:rsidP="0064754E">
      <w:pPr>
        <w:ind w:left="1440"/>
      </w:pPr>
      <w:r>
        <w:t>“</w:t>
      </w:r>
      <w:r w:rsidRPr="00D37548">
        <w:rPr>
          <w:i/>
          <w:iCs/>
          <w:u w:val="single"/>
        </w:rPr>
        <w:t>Our current average cost to acquire a customer</w:t>
      </w:r>
      <w:r>
        <w:t xml:space="preserve"> is $300.”</w:t>
      </w:r>
    </w:p>
    <w:p w14:paraId="373BCAD6" w14:textId="0BE14139" w:rsidR="0064754E" w:rsidRDefault="0064754E" w:rsidP="0064754E">
      <w:pPr>
        <w:ind w:left="1440"/>
      </w:pPr>
    </w:p>
    <w:p w14:paraId="5B8FD423" w14:textId="691C6A80" w:rsidR="0064754E" w:rsidRDefault="0064754E" w:rsidP="0064754E">
      <w:pPr>
        <w:ind w:left="1440"/>
      </w:pPr>
      <w:r>
        <w:t xml:space="preserve">“The </w:t>
      </w:r>
      <w:r w:rsidRPr="0064754E">
        <w:rPr>
          <w:i/>
          <w:iCs/>
          <w:u w:val="single"/>
        </w:rPr>
        <w:t>width of cabinet model b2724</w:t>
      </w:r>
      <w:r>
        <w:t xml:space="preserve"> is 27 inches.”</w:t>
      </w:r>
    </w:p>
    <w:p w14:paraId="142A4874" w14:textId="040D972B" w:rsidR="0064754E" w:rsidRDefault="0064754E" w:rsidP="0064754E">
      <w:pPr>
        <w:ind w:left="1440"/>
      </w:pPr>
    </w:p>
    <w:p w14:paraId="186D069E" w14:textId="59857645" w:rsidR="0064754E" w:rsidRDefault="0064754E" w:rsidP="0064754E">
      <w:pPr>
        <w:ind w:left="720"/>
      </w:pPr>
      <w:r>
        <w:t xml:space="preserve">A magnitude is described by </w:t>
      </w:r>
      <w:r w:rsidR="00CB68F3">
        <w:t>four</w:t>
      </w:r>
      <w:r>
        <w:t xml:space="preserve"> properties:</w:t>
      </w:r>
    </w:p>
    <w:p w14:paraId="1942CD72" w14:textId="32D058AB" w:rsidR="0064754E" w:rsidRDefault="0064754E" w:rsidP="0064754E">
      <w:pPr>
        <w:ind w:left="720"/>
      </w:pPr>
    </w:p>
    <w:p w14:paraId="7DE6722E" w14:textId="12F3ACE5" w:rsidR="0064754E" w:rsidRDefault="0064754E" w:rsidP="0064754E">
      <w:pPr>
        <w:ind w:left="1440"/>
      </w:pPr>
      <w:proofErr w:type="spellStart"/>
      <w:r w:rsidRPr="00D37548">
        <w:rPr>
          <w:i/>
          <w:iCs/>
        </w:rPr>
        <w:t>categorizedBy</w:t>
      </w:r>
      <w:proofErr w:type="spellEnd"/>
      <w:r>
        <w:t xml:space="preserve"> some Aspect</w:t>
      </w:r>
    </w:p>
    <w:p w14:paraId="21CFE1CB" w14:textId="3F15F3C0" w:rsidR="0064754E" w:rsidRDefault="0064754E" w:rsidP="0064754E">
      <w:pPr>
        <w:ind w:left="1440"/>
      </w:pPr>
    </w:p>
    <w:p w14:paraId="4834DFC5" w14:textId="7571D25A" w:rsidR="0064754E" w:rsidRDefault="005F571E" w:rsidP="0064754E">
      <w:pPr>
        <w:ind w:left="1440"/>
      </w:pPr>
      <w:proofErr w:type="spellStart"/>
      <w:r w:rsidRPr="00D37548">
        <w:rPr>
          <w:i/>
          <w:iCs/>
        </w:rPr>
        <w:t>hasUnitOfMeasure</w:t>
      </w:r>
      <w:proofErr w:type="spellEnd"/>
      <w:r>
        <w:t xml:space="preserve"> some </w:t>
      </w:r>
      <w:proofErr w:type="spellStart"/>
      <w:r>
        <w:t>UnitOfMeasure</w:t>
      </w:r>
      <w:proofErr w:type="spellEnd"/>
    </w:p>
    <w:p w14:paraId="2A9FC7B9" w14:textId="4EBDD5F4" w:rsidR="005F571E" w:rsidRDefault="005F571E" w:rsidP="0064754E">
      <w:pPr>
        <w:ind w:left="1440"/>
      </w:pPr>
    </w:p>
    <w:p w14:paraId="63C5D1FF" w14:textId="70171F76" w:rsidR="005F571E" w:rsidRDefault="005F571E" w:rsidP="0064754E">
      <w:pPr>
        <w:ind w:left="1440"/>
      </w:pPr>
      <w:proofErr w:type="spellStart"/>
      <w:r w:rsidRPr="00D37548">
        <w:rPr>
          <w:i/>
          <w:iCs/>
        </w:rPr>
        <w:t>numericalValue</w:t>
      </w:r>
      <w:proofErr w:type="spellEnd"/>
      <w:r>
        <w:t xml:space="preserve"> some number (typically a double like 5.68, or a ratio like 1/3)</w:t>
      </w:r>
    </w:p>
    <w:p w14:paraId="421EEF5F" w14:textId="37D1F2F1" w:rsidR="00CB68F3" w:rsidRDefault="00CB68F3" w:rsidP="0064754E">
      <w:pPr>
        <w:ind w:left="1440"/>
      </w:pPr>
    </w:p>
    <w:p w14:paraId="0C61E2D1" w14:textId="56E3845D" w:rsidR="00CB68F3" w:rsidRDefault="00CB68F3" w:rsidP="0064754E">
      <w:pPr>
        <w:ind w:left="1440"/>
      </w:pPr>
      <w:proofErr w:type="spellStart"/>
      <w:r w:rsidRPr="00CB68F3">
        <w:rPr>
          <w:i/>
          <w:iCs/>
          <w:u w:val="single"/>
        </w:rPr>
        <w:t>hasPrecision</w:t>
      </w:r>
      <w:proofErr w:type="spellEnd"/>
      <w:r>
        <w:t xml:space="preserve"> some Magnitude </w:t>
      </w:r>
      <w:r w:rsidR="00EB6A53">
        <w:t>(</w:t>
      </w:r>
      <w:r>
        <w:t>allows the estimated accuracy of a measurement to be recorded</w:t>
      </w:r>
      <w:r w:rsidR="00EB6A53">
        <w:t>)</w:t>
      </w:r>
    </w:p>
    <w:p w14:paraId="6553CE94" w14:textId="3B484915" w:rsidR="005F571E" w:rsidRDefault="005F571E" w:rsidP="0064754E">
      <w:pPr>
        <w:ind w:left="1440"/>
      </w:pPr>
    </w:p>
    <w:p w14:paraId="5F2873AF" w14:textId="48185DD8" w:rsidR="00C03B90" w:rsidRDefault="00C03B90" w:rsidP="00C03B90">
      <w:pPr>
        <w:ind w:left="720"/>
      </w:pPr>
      <w:r>
        <w:t>A magnitude can involve a single measurement, an average, or a reference value like a speed limit</w:t>
      </w:r>
      <w:r w:rsidR="009E1A2B">
        <w:t>.</w:t>
      </w:r>
    </w:p>
    <w:p w14:paraId="62CC5E65" w14:textId="77777777" w:rsidR="00C03B90" w:rsidRDefault="00C03B90" w:rsidP="00C03B90">
      <w:pPr>
        <w:ind w:left="720"/>
      </w:pPr>
    </w:p>
    <w:p w14:paraId="3208F6DF" w14:textId="5D7FF912" w:rsidR="0064754E" w:rsidRDefault="005F571E" w:rsidP="005F571E">
      <w:pPr>
        <w:ind w:left="720"/>
      </w:pPr>
      <w:r w:rsidRPr="00D37548">
        <w:rPr>
          <w:i/>
          <w:iCs/>
        </w:rPr>
        <w:t>Aspect</w:t>
      </w:r>
      <w:r>
        <w:t xml:space="preserve"> </w:t>
      </w:r>
      <w:r w:rsidR="00D26949">
        <w:t xml:space="preserve">(a measurable characteristic) </w:t>
      </w:r>
      <w:r>
        <w:t>is also easy to use</w:t>
      </w:r>
      <w:r w:rsidR="00453B51">
        <w:t>; below are some</w:t>
      </w:r>
      <w:r>
        <w:t xml:space="preserve"> example</w:t>
      </w:r>
      <w:r w:rsidR="00453B51">
        <w:t>s</w:t>
      </w:r>
      <w:r>
        <w:t>:</w:t>
      </w:r>
    </w:p>
    <w:p w14:paraId="61497F37" w14:textId="5BA248E8" w:rsidR="005F571E" w:rsidRDefault="005F571E" w:rsidP="005F571E">
      <w:pPr>
        <w:ind w:left="720"/>
      </w:pPr>
    </w:p>
    <w:p w14:paraId="7BD3C3A5" w14:textId="56EF787F" w:rsidR="005F571E" w:rsidRDefault="005F571E" w:rsidP="005F571E">
      <w:pPr>
        <w:ind w:left="1440"/>
      </w:pPr>
      <w:r w:rsidRPr="00EF5C13">
        <w:rPr>
          <w:i/>
          <w:iCs/>
          <w:u w:val="single"/>
        </w:rPr>
        <w:t>Area</w:t>
      </w:r>
      <w:r>
        <w:t xml:space="preserve"> can be measured in acres.</w:t>
      </w:r>
    </w:p>
    <w:p w14:paraId="2A5CFAF2" w14:textId="4C13EF87" w:rsidR="005F571E" w:rsidRDefault="005F571E" w:rsidP="005F571E">
      <w:pPr>
        <w:ind w:left="1440"/>
      </w:pPr>
    </w:p>
    <w:p w14:paraId="33D8F12D" w14:textId="68D02BC9" w:rsidR="005F571E" w:rsidRDefault="005F571E" w:rsidP="005F571E">
      <w:pPr>
        <w:ind w:left="1440"/>
      </w:pPr>
      <w:r w:rsidRPr="00EF5C13">
        <w:rPr>
          <w:i/>
          <w:iCs/>
          <w:u w:val="single"/>
        </w:rPr>
        <w:t>Number of viewers</w:t>
      </w:r>
      <w:r>
        <w:t xml:space="preserve"> can be found by counting or estimating.</w:t>
      </w:r>
    </w:p>
    <w:p w14:paraId="19051B9B" w14:textId="7400D7E8" w:rsidR="005F571E" w:rsidRDefault="005F571E" w:rsidP="005F571E">
      <w:pPr>
        <w:ind w:left="1440"/>
      </w:pPr>
    </w:p>
    <w:p w14:paraId="5F67CDE0" w14:textId="0BB77FE1" w:rsidR="005F571E" w:rsidRDefault="005F571E" w:rsidP="005F571E">
      <w:pPr>
        <w:ind w:left="1440"/>
      </w:pPr>
      <w:r w:rsidRPr="00EF5C13">
        <w:rPr>
          <w:i/>
          <w:iCs/>
          <w:u w:val="single"/>
        </w:rPr>
        <w:t>Cost</w:t>
      </w:r>
      <w:r w:rsidR="00EF5C13" w:rsidRPr="00EF5C13">
        <w:rPr>
          <w:i/>
          <w:iCs/>
          <w:u w:val="single"/>
        </w:rPr>
        <w:t xml:space="preserve"> to acquire a customer</w:t>
      </w:r>
      <w:r>
        <w:t xml:space="preserve"> </w:t>
      </w:r>
      <w:r w:rsidR="00EF5C13">
        <w:t>can be measured in dollars.</w:t>
      </w:r>
    </w:p>
    <w:p w14:paraId="1F05CFD2" w14:textId="3D0273F8" w:rsidR="00EF5C13" w:rsidRDefault="00EF5C13" w:rsidP="005F571E">
      <w:pPr>
        <w:ind w:left="1440"/>
      </w:pPr>
    </w:p>
    <w:p w14:paraId="2227D247" w14:textId="19B18680" w:rsidR="00EF5C13" w:rsidRDefault="00EF5C13" w:rsidP="005F571E">
      <w:pPr>
        <w:ind w:left="1440"/>
      </w:pPr>
      <w:r w:rsidRPr="00EF5C13">
        <w:rPr>
          <w:i/>
          <w:iCs/>
          <w:u w:val="single"/>
        </w:rPr>
        <w:t>Width</w:t>
      </w:r>
      <w:r>
        <w:t xml:space="preserve"> can be measured in inches.</w:t>
      </w:r>
    </w:p>
    <w:p w14:paraId="4A8192F9" w14:textId="67F03651" w:rsidR="00EF5C13" w:rsidRDefault="00EF5C13" w:rsidP="005F571E">
      <w:pPr>
        <w:ind w:left="1440"/>
      </w:pPr>
    </w:p>
    <w:p w14:paraId="0560B5CB" w14:textId="5C286589" w:rsidR="00EF5C13" w:rsidRDefault="004B73CD" w:rsidP="00EF5C13">
      <w:pPr>
        <w:ind w:left="1440"/>
      </w:pPr>
      <w:r>
        <w:t>A</w:t>
      </w:r>
      <w:r w:rsidR="00EF5C13">
        <w:t xml:space="preserve">ny business metric is an aspect, typically measured </w:t>
      </w:r>
      <w:r>
        <w:t xml:space="preserve">or specified </w:t>
      </w:r>
      <w:r w:rsidR="00EF5C13">
        <w:t>as a time</w:t>
      </w:r>
      <w:r w:rsidR="002B118B">
        <w:t xml:space="preserve"> duration</w:t>
      </w:r>
      <w:r w:rsidR="00EF5C13">
        <w:t xml:space="preserve">, </w:t>
      </w:r>
      <w:r>
        <w:t>monetary value</w:t>
      </w:r>
      <w:r w:rsidR="00EF5C13">
        <w:t>, or count.</w:t>
      </w:r>
    </w:p>
    <w:p w14:paraId="4F7D5C68" w14:textId="174ED8A0" w:rsidR="00EF5C13" w:rsidRDefault="00EF5C13" w:rsidP="00EF5C13">
      <w:pPr>
        <w:ind w:left="1440"/>
      </w:pPr>
    </w:p>
    <w:p w14:paraId="46D9399B" w14:textId="0B517C49" w:rsidR="00EF5C13" w:rsidRDefault="00EF5C13" w:rsidP="00EF5C13">
      <w:pPr>
        <w:ind w:left="1440"/>
      </w:pPr>
      <w:r>
        <w:t xml:space="preserve">Engineering and scientific domains use aspects like </w:t>
      </w:r>
      <w:r w:rsidRPr="00D26949">
        <w:rPr>
          <w:i/>
          <w:iCs/>
          <w:u w:val="single"/>
        </w:rPr>
        <w:t>electrical current</w:t>
      </w:r>
      <w:r>
        <w:t xml:space="preserve"> or </w:t>
      </w:r>
      <w:r w:rsidRPr="00D26949">
        <w:rPr>
          <w:i/>
          <w:iCs/>
          <w:u w:val="single"/>
        </w:rPr>
        <w:t>specific heat capacity</w:t>
      </w:r>
      <w:r>
        <w:t>.</w:t>
      </w:r>
    </w:p>
    <w:p w14:paraId="5019ACFF" w14:textId="040EA07C" w:rsidR="00CB00F1" w:rsidRDefault="00CB00F1" w:rsidP="00EF5C13">
      <w:pPr>
        <w:ind w:left="1440"/>
      </w:pPr>
    </w:p>
    <w:p w14:paraId="402F7376" w14:textId="0AB57FC2" w:rsidR="00CB00F1" w:rsidRDefault="00CB00F1" w:rsidP="00EF5C13">
      <w:pPr>
        <w:ind w:left="1440"/>
      </w:pPr>
      <w:r>
        <w:t>The values of Aspect will reflect the terminology of a domain, which can vary considerably. The simple concept of distance</w:t>
      </w:r>
      <w:r w:rsidR="00AF7C7B">
        <w:t>, for example, could</w:t>
      </w:r>
      <w:r>
        <w:t xml:space="preserve"> manifest itself </w:t>
      </w:r>
      <w:r w:rsidR="00DA1A8E">
        <w:t>in</w:t>
      </w:r>
      <w:r>
        <w:t xml:space="preserve"> </w:t>
      </w:r>
      <w:r w:rsidR="004B73CD">
        <w:t xml:space="preserve">aspects like </w:t>
      </w:r>
      <w:r>
        <w:t xml:space="preserve">perimeter, elevation, altitude, depth of channel, </w:t>
      </w:r>
      <w:r w:rsidR="004B73CD">
        <w:t xml:space="preserve">orbital </w:t>
      </w:r>
      <w:r>
        <w:t>perigee, etc.</w:t>
      </w:r>
    </w:p>
    <w:p w14:paraId="6FF2FCA8" w14:textId="57D3A84C" w:rsidR="002C11B7" w:rsidRDefault="002C11B7" w:rsidP="00EF5C13">
      <w:pPr>
        <w:ind w:left="1440"/>
      </w:pPr>
    </w:p>
    <w:p w14:paraId="6DEC61C5" w14:textId="7A7AFD0F" w:rsidR="002C11B7" w:rsidRDefault="009B6041" w:rsidP="00EF5C13">
      <w:pPr>
        <w:ind w:left="1440"/>
      </w:pPr>
      <w:r>
        <w:t xml:space="preserve">[ </w:t>
      </w:r>
      <w:r w:rsidR="002C11B7" w:rsidRPr="00C229BE">
        <w:rPr>
          <w:highlight w:val="lightGray"/>
        </w:rPr>
        <w:t xml:space="preserve">Per Dave </w:t>
      </w:r>
      <w:proofErr w:type="spellStart"/>
      <w:r w:rsidR="002C11B7" w:rsidRPr="00C229BE">
        <w:rPr>
          <w:highlight w:val="lightGray"/>
        </w:rPr>
        <w:t>McComb</w:t>
      </w:r>
      <w:proofErr w:type="spellEnd"/>
      <w:r w:rsidR="002C11B7" w:rsidRPr="00C229BE">
        <w:rPr>
          <w:highlight w:val="lightGray"/>
        </w:rPr>
        <w:t xml:space="preserve">, Aspect was originally intended for “folksonomy” type characteristics such as cabinet width. </w:t>
      </w:r>
      <w:r w:rsidR="002773AB" w:rsidRPr="00C229BE">
        <w:rPr>
          <w:highlight w:val="lightGray"/>
        </w:rPr>
        <w:t>In the proposal, there is intentionally no set of “standard” aspects, following a “when in doubt, leave it out” approach</w:t>
      </w:r>
      <w:r w:rsidR="00552B36">
        <w:t>. The expectation is that users know the meaning of the units and what they refer to, for example an electrician understands what an amp is</w:t>
      </w:r>
      <w:proofErr w:type="gramStart"/>
      <w:r w:rsidR="002773AB">
        <w:t>.</w:t>
      </w:r>
      <w:r>
        <w:t xml:space="preserve"> ]</w:t>
      </w:r>
      <w:proofErr w:type="gramEnd"/>
    </w:p>
    <w:p w14:paraId="291D956C" w14:textId="4F670D51" w:rsidR="00EF5C13" w:rsidRDefault="00EF5C13" w:rsidP="00EF5C13">
      <w:pPr>
        <w:ind w:left="1440"/>
      </w:pPr>
    </w:p>
    <w:p w14:paraId="3F76AA80" w14:textId="081EB798" w:rsidR="00EF5C13" w:rsidRDefault="00EF5C13" w:rsidP="00EF5C13">
      <w:pPr>
        <w:ind w:left="720"/>
      </w:pPr>
      <w:proofErr w:type="spellStart"/>
      <w:r w:rsidRPr="00D37548">
        <w:rPr>
          <w:i/>
          <w:iCs/>
        </w:rPr>
        <w:t>UnitOfMeasure</w:t>
      </w:r>
      <w:proofErr w:type="spellEnd"/>
      <w:r>
        <w:t xml:space="preserve"> is what it sounds like:</w:t>
      </w:r>
    </w:p>
    <w:p w14:paraId="0DA012EA" w14:textId="2D2068F3" w:rsidR="00EF5C13" w:rsidRDefault="00EF5C13" w:rsidP="00EF5C13">
      <w:pPr>
        <w:ind w:left="720"/>
      </w:pPr>
    </w:p>
    <w:p w14:paraId="36644FBF" w14:textId="77777777" w:rsidR="00EF5C13" w:rsidRPr="00EF5C13" w:rsidRDefault="00EF5C13" w:rsidP="00EF5C13">
      <w:pPr>
        <w:ind w:left="1440"/>
      </w:pPr>
      <w:r w:rsidRPr="00EF5C13">
        <w:t xml:space="preserve">Area can be measured in </w:t>
      </w:r>
      <w:r w:rsidRPr="00EF5C13">
        <w:rPr>
          <w:i/>
          <w:iCs/>
          <w:u w:val="single"/>
        </w:rPr>
        <w:t>acres</w:t>
      </w:r>
      <w:r w:rsidRPr="00EF5C13">
        <w:t>.</w:t>
      </w:r>
    </w:p>
    <w:p w14:paraId="415427E1" w14:textId="77777777" w:rsidR="00EF5C13" w:rsidRPr="00EF5C13" w:rsidRDefault="00EF5C13" w:rsidP="00EF5C13">
      <w:pPr>
        <w:ind w:left="1440"/>
      </w:pPr>
    </w:p>
    <w:p w14:paraId="548AC63E" w14:textId="4427A629" w:rsidR="00EF5C13" w:rsidRPr="00EF5C13" w:rsidRDefault="00EF5C13" w:rsidP="00EF5C13">
      <w:pPr>
        <w:ind w:left="1440"/>
      </w:pPr>
      <w:r w:rsidRPr="00EF5C13">
        <w:t>Number of viewers can be found by counting or estimating</w:t>
      </w:r>
      <w:r>
        <w:t xml:space="preserve"> (the unit is </w:t>
      </w:r>
      <w:r w:rsidRPr="00EF5C13">
        <w:rPr>
          <w:i/>
          <w:iCs/>
          <w:u w:val="single"/>
        </w:rPr>
        <w:t>one</w:t>
      </w:r>
      <w:r>
        <w:t>)</w:t>
      </w:r>
      <w:r w:rsidRPr="00EF5C13">
        <w:t>.</w:t>
      </w:r>
    </w:p>
    <w:p w14:paraId="6AE41AC1" w14:textId="77777777" w:rsidR="00EF5C13" w:rsidRPr="00EF5C13" w:rsidRDefault="00EF5C13" w:rsidP="00EF5C13">
      <w:pPr>
        <w:ind w:left="1440"/>
      </w:pPr>
    </w:p>
    <w:p w14:paraId="4BE33CF9" w14:textId="6EE8070E" w:rsidR="00EF5C13" w:rsidRPr="00EF5C13" w:rsidRDefault="00EF5C13" w:rsidP="00EF5C13">
      <w:pPr>
        <w:ind w:left="1440"/>
      </w:pPr>
      <w:r w:rsidRPr="00EF5C13">
        <w:t xml:space="preserve">Cost to acquire a customer can be measured in </w:t>
      </w:r>
      <w:r w:rsidRPr="00EF5C13">
        <w:rPr>
          <w:i/>
          <w:iCs/>
          <w:u w:val="single"/>
        </w:rPr>
        <w:t>US dollars</w:t>
      </w:r>
      <w:r w:rsidRPr="00EF5C13">
        <w:t>.</w:t>
      </w:r>
    </w:p>
    <w:p w14:paraId="67A6F4CC" w14:textId="77777777" w:rsidR="00EF5C13" w:rsidRPr="00EF5C13" w:rsidRDefault="00EF5C13" w:rsidP="00EF5C13">
      <w:pPr>
        <w:ind w:left="1440"/>
      </w:pPr>
    </w:p>
    <w:p w14:paraId="0B0A15DF" w14:textId="77777777" w:rsidR="00EF5C13" w:rsidRPr="00EF5C13" w:rsidRDefault="00EF5C13" w:rsidP="00EF5C13">
      <w:pPr>
        <w:ind w:left="1440"/>
      </w:pPr>
      <w:r w:rsidRPr="00EF5C13">
        <w:lastRenderedPageBreak/>
        <w:t xml:space="preserve">Width can be measured in </w:t>
      </w:r>
      <w:r w:rsidRPr="00EF5C13">
        <w:rPr>
          <w:i/>
          <w:iCs/>
          <w:u w:val="single"/>
        </w:rPr>
        <w:t>inches</w:t>
      </w:r>
      <w:r w:rsidRPr="00EF5C13">
        <w:t>.</w:t>
      </w:r>
    </w:p>
    <w:p w14:paraId="72FEA85C" w14:textId="6C002AC7" w:rsidR="00EF5C13" w:rsidRDefault="00EF5C13" w:rsidP="00EF5C13">
      <w:pPr>
        <w:ind w:left="1440"/>
      </w:pPr>
    </w:p>
    <w:p w14:paraId="5D75F553" w14:textId="21751110" w:rsidR="00B17E16" w:rsidRDefault="00B17E16" w:rsidP="00B17E16">
      <w:pPr>
        <w:ind w:left="720"/>
      </w:pPr>
      <w:r>
        <w:t>A unit of measure can be further described with the properties:</w:t>
      </w:r>
    </w:p>
    <w:p w14:paraId="231C53A1" w14:textId="10C0FF8A" w:rsidR="00B17E16" w:rsidRDefault="00B17E16" w:rsidP="00B17E16">
      <w:pPr>
        <w:ind w:left="720"/>
      </w:pPr>
    </w:p>
    <w:p w14:paraId="5717FF83" w14:textId="36D5FFDE" w:rsidR="00B17E16" w:rsidRPr="00B17E16" w:rsidRDefault="00552B36" w:rsidP="00B17E16">
      <w:pPr>
        <w:ind w:left="1440"/>
        <w:rPr>
          <w:i/>
          <w:iCs/>
        </w:rPr>
      </w:pPr>
      <w:r>
        <w:rPr>
          <w:i/>
          <w:iCs/>
        </w:rPr>
        <w:t>symbol</w:t>
      </w:r>
    </w:p>
    <w:p w14:paraId="339EECC8" w14:textId="1E327A61" w:rsidR="00B17E16" w:rsidRPr="00B17E16" w:rsidRDefault="00552B36" w:rsidP="00B17E16">
      <w:pPr>
        <w:ind w:left="1440"/>
        <w:rPr>
          <w:i/>
          <w:iCs/>
        </w:rPr>
      </w:pPr>
      <w:proofErr w:type="spellStart"/>
      <w:r>
        <w:rPr>
          <w:i/>
          <w:iCs/>
        </w:rPr>
        <w:t>symbol</w:t>
      </w:r>
      <w:r w:rsidR="00B17E16" w:rsidRPr="00B17E16">
        <w:rPr>
          <w:i/>
          <w:iCs/>
        </w:rPr>
        <w:t>HTML</w:t>
      </w:r>
      <w:proofErr w:type="spellEnd"/>
    </w:p>
    <w:p w14:paraId="1614E07A" w14:textId="01AB317F" w:rsidR="00B17E16" w:rsidRDefault="00552B36" w:rsidP="00B17E16">
      <w:pPr>
        <w:ind w:left="1440"/>
        <w:rPr>
          <w:i/>
          <w:iCs/>
        </w:rPr>
      </w:pPr>
      <w:proofErr w:type="spellStart"/>
      <w:r>
        <w:rPr>
          <w:i/>
          <w:iCs/>
        </w:rPr>
        <w:t>symbol</w:t>
      </w:r>
      <w:r w:rsidR="00B17E16" w:rsidRPr="00B17E16">
        <w:rPr>
          <w:i/>
          <w:iCs/>
        </w:rPr>
        <w:t>Unicode</w:t>
      </w:r>
      <w:proofErr w:type="spellEnd"/>
    </w:p>
    <w:p w14:paraId="3B64D9FB" w14:textId="77777777" w:rsidR="00B17E16" w:rsidRPr="00B17E16" w:rsidRDefault="00B17E16" w:rsidP="00B17E16">
      <w:pPr>
        <w:ind w:left="1440"/>
        <w:rPr>
          <w:i/>
          <w:iCs/>
        </w:rPr>
      </w:pPr>
    </w:p>
    <w:p w14:paraId="09BFD386" w14:textId="1F969042" w:rsidR="00B17E16" w:rsidRDefault="00B17E16" w:rsidP="00B17E16">
      <w:pPr>
        <w:ind w:left="1440"/>
      </w:pPr>
      <w:proofErr w:type="spellStart"/>
      <w:r w:rsidRPr="00B17E16">
        <w:rPr>
          <w:i/>
          <w:iCs/>
        </w:rPr>
        <w:t>hasStandardUnit</w:t>
      </w:r>
      <w:proofErr w:type="spellEnd"/>
      <w:r>
        <w:t xml:space="preserve"> some </w:t>
      </w:r>
      <w:proofErr w:type="spellStart"/>
      <w:r>
        <w:t>StandardUnit</w:t>
      </w:r>
      <w:proofErr w:type="spellEnd"/>
    </w:p>
    <w:p w14:paraId="6E28F384" w14:textId="341300FF" w:rsidR="00552B36" w:rsidRDefault="00552B36" w:rsidP="00B17E16">
      <w:pPr>
        <w:ind w:left="1440"/>
      </w:pPr>
    </w:p>
    <w:p w14:paraId="5819FBCB" w14:textId="2606B98F" w:rsidR="00552B36" w:rsidRPr="00552B36" w:rsidRDefault="00552B36" w:rsidP="00B17E16">
      <w:pPr>
        <w:ind w:left="1440"/>
        <w:rPr>
          <w:i/>
          <w:iCs/>
        </w:rPr>
      </w:pPr>
      <w:proofErr w:type="spellStart"/>
      <w:r w:rsidRPr="00552B36">
        <w:rPr>
          <w:i/>
          <w:iCs/>
        </w:rPr>
        <w:t>conversionOffset</w:t>
      </w:r>
      <w:proofErr w:type="spellEnd"/>
    </w:p>
    <w:p w14:paraId="6B096BC7" w14:textId="5A00043B" w:rsidR="00552B36" w:rsidRPr="00552B36" w:rsidRDefault="00552B36" w:rsidP="00B17E16">
      <w:pPr>
        <w:ind w:left="1440"/>
        <w:rPr>
          <w:i/>
          <w:iCs/>
        </w:rPr>
      </w:pPr>
      <w:proofErr w:type="spellStart"/>
      <w:r w:rsidRPr="00552B36">
        <w:rPr>
          <w:i/>
          <w:iCs/>
        </w:rPr>
        <w:t>conversionFactor</w:t>
      </w:r>
      <w:proofErr w:type="spellEnd"/>
    </w:p>
    <w:p w14:paraId="497F5387" w14:textId="77777777" w:rsidR="00B17E16" w:rsidRDefault="00B17E16" w:rsidP="00B17E16">
      <w:pPr>
        <w:ind w:left="720"/>
      </w:pPr>
    </w:p>
    <w:p w14:paraId="0F56F3FB" w14:textId="6679048A" w:rsidR="00EF5C13" w:rsidRDefault="00EF5C13" w:rsidP="00EF5C13">
      <w:pPr>
        <w:ind w:left="720"/>
      </w:pPr>
      <w:proofErr w:type="spellStart"/>
      <w:r w:rsidRPr="00D37548">
        <w:rPr>
          <w:i/>
          <w:iCs/>
        </w:rPr>
        <w:t>StandardUnit</w:t>
      </w:r>
      <w:proofErr w:type="spellEnd"/>
      <w:r>
        <w:t xml:space="preserve"> is </w:t>
      </w:r>
      <w:r w:rsidR="00B17E16">
        <w:t xml:space="preserve">a subclass of </w:t>
      </w:r>
      <w:proofErr w:type="spellStart"/>
      <w:r w:rsidR="00B17E16">
        <w:t>UnitOfMeasure</w:t>
      </w:r>
      <w:proofErr w:type="spellEnd"/>
      <w:r w:rsidR="00B17E16">
        <w:t xml:space="preserve"> </w:t>
      </w:r>
      <w:r w:rsidR="00F60BE6">
        <w:t xml:space="preserve">based on the International System of </w:t>
      </w:r>
      <w:proofErr w:type="gramStart"/>
      <w:r w:rsidR="00F60BE6">
        <w:t>Units, but</w:t>
      </w:r>
      <w:proofErr w:type="gramEnd"/>
      <w:r w:rsidR="00F60BE6">
        <w:t xml:space="preserve"> refined to make it easier to avoid “comparing apples and oranges”.</w:t>
      </w:r>
    </w:p>
    <w:p w14:paraId="521353A0" w14:textId="4A7BF3D8" w:rsidR="00F60BE6" w:rsidRDefault="00F60BE6" w:rsidP="00EF5C13">
      <w:pPr>
        <w:ind w:left="720"/>
      </w:pPr>
    </w:p>
    <w:p w14:paraId="104693B1" w14:textId="6E05C0B7" w:rsidR="00F60BE6" w:rsidRDefault="00F60BE6" w:rsidP="00F60BE6">
      <w:pPr>
        <w:ind w:left="1440"/>
      </w:pPr>
      <w:r w:rsidRPr="00F60BE6">
        <w:rPr>
          <w:i/>
          <w:iCs/>
          <w:u w:val="single"/>
        </w:rPr>
        <w:t>ampere</w:t>
      </w:r>
      <w:r>
        <w:t xml:space="preserve">, </w:t>
      </w:r>
      <w:r w:rsidRPr="00F60BE6">
        <w:rPr>
          <w:i/>
          <w:iCs/>
          <w:u w:val="single"/>
        </w:rPr>
        <w:t>candela</w:t>
      </w:r>
      <w:r>
        <w:t xml:space="preserve">, </w:t>
      </w:r>
      <w:r w:rsidRPr="00F60BE6">
        <w:rPr>
          <w:i/>
          <w:iCs/>
          <w:u w:val="single"/>
        </w:rPr>
        <w:t>kelvin</w:t>
      </w:r>
      <w:r>
        <w:t xml:space="preserve">, </w:t>
      </w:r>
      <w:r w:rsidRPr="00F60BE6">
        <w:rPr>
          <w:i/>
          <w:iCs/>
          <w:u w:val="single"/>
        </w:rPr>
        <w:t>kilogram</w:t>
      </w:r>
      <w:r>
        <w:t xml:space="preserve">, </w:t>
      </w:r>
      <w:r w:rsidRPr="00F60BE6">
        <w:rPr>
          <w:i/>
          <w:iCs/>
          <w:u w:val="single"/>
        </w:rPr>
        <w:t>meter</w:t>
      </w:r>
      <w:r>
        <w:t xml:space="preserve">, </w:t>
      </w:r>
      <w:r w:rsidRPr="00F60BE6">
        <w:rPr>
          <w:i/>
          <w:iCs/>
          <w:u w:val="single"/>
        </w:rPr>
        <w:t>mole</w:t>
      </w:r>
      <w:r>
        <w:t xml:space="preserve">, and </w:t>
      </w:r>
      <w:r w:rsidRPr="00F60BE6">
        <w:rPr>
          <w:i/>
          <w:iCs/>
          <w:u w:val="single"/>
        </w:rPr>
        <w:t>second</w:t>
      </w:r>
      <w:r>
        <w:t xml:space="preserve"> are standard units from the International System of Units. Each of these has a corresponding aspect (electrical current, luminous intensity, etc.)</w:t>
      </w:r>
    </w:p>
    <w:p w14:paraId="7DEA597D" w14:textId="22781ABB" w:rsidR="00F60BE6" w:rsidRDefault="00F60BE6" w:rsidP="00F60BE6">
      <w:pPr>
        <w:ind w:left="1440"/>
      </w:pPr>
    </w:p>
    <w:p w14:paraId="74A63765" w14:textId="6DBF1E4B" w:rsidR="00F60BE6" w:rsidRDefault="00F60BE6" w:rsidP="00F60BE6">
      <w:pPr>
        <w:ind w:left="1440"/>
      </w:pPr>
      <w:r w:rsidRPr="00F60BE6">
        <w:rPr>
          <w:i/>
          <w:iCs/>
          <w:u w:val="single"/>
        </w:rPr>
        <w:t>one</w:t>
      </w:r>
      <w:r>
        <w:t xml:space="preserve"> is a standard unit as described in the International System of Units.</w:t>
      </w:r>
    </w:p>
    <w:p w14:paraId="57FA2027" w14:textId="31B04A37" w:rsidR="00F60BE6" w:rsidRDefault="00F60BE6" w:rsidP="00F60BE6">
      <w:pPr>
        <w:ind w:left="1440"/>
      </w:pPr>
    </w:p>
    <w:p w14:paraId="531BF5D9" w14:textId="78E08291" w:rsidR="00F60BE6" w:rsidRDefault="00F60BE6" w:rsidP="00F60BE6">
      <w:pPr>
        <w:ind w:left="1440"/>
      </w:pPr>
      <w:r w:rsidRPr="00F60BE6">
        <w:rPr>
          <w:i/>
          <w:iCs/>
          <w:u w:val="single"/>
        </w:rPr>
        <w:t>bit</w:t>
      </w:r>
      <w:r>
        <w:t xml:space="preserve"> is a standard unit added by gist to measure an amount of data.</w:t>
      </w:r>
    </w:p>
    <w:p w14:paraId="57FDE96A" w14:textId="42F06159" w:rsidR="00F60BE6" w:rsidRDefault="00F60BE6" w:rsidP="00F60BE6">
      <w:pPr>
        <w:ind w:left="1440"/>
      </w:pPr>
    </w:p>
    <w:p w14:paraId="1AD36502" w14:textId="69CDF74C" w:rsidR="00F60BE6" w:rsidRDefault="00F60BE6" w:rsidP="00F60BE6">
      <w:pPr>
        <w:ind w:left="1440"/>
      </w:pPr>
      <w:r w:rsidRPr="00F60BE6">
        <w:rPr>
          <w:i/>
          <w:iCs/>
          <w:u w:val="single"/>
        </w:rPr>
        <w:t>US Dollar</w:t>
      </w:r>
      <w:r>
        <w:t xml:space="preserve"> is a standard unit added by gist to measure monetary value</w:t>
      </w:r>
      <w:r w:rsidR="00666469">
        <w:t>. Unlike the other standard units, US Dollar has no physical meaning.</w:t>
      </w:r>
    </w:p>
    <w:p w14:paraId="76392EE8" w14:textId="0AC97B76" w:rsidR="00F60BE6" w:rsidRDefault="00F60BE6" w:rsidP="00F60BE6">
      <w:pPr>
        <w:ind w:left="1440"/>
      </w:pPr>
    </w:p>
    <w:p w14:paraId="6E921709" w14:textId="69F16E09" w:rsidR="00F60BE6" w:rsidRDefault="00F60BE6" w:rsidP="00F60BE6">
      <w:pPr>
        <w:ind w:left="1440"/>
      </w:pPr>
      <w:r>
        <w:t xml:space="preserve">This proposal defines a </w:t>
      </w:r>
      <w:r w:rsidRPr="00D37548">
        <w:rPr>
          <w:i/>
          <w:iCs/>
        </w:rPr>
        <w:t>standard unit</w:t>
      </w:r>
      <w:r>
        <w:t xml:space="preserve"> as any of the </w:t>
      </w:r>
      <w:r w:rsidR="00D37548">
        <w:t>units</w:t>
      </w:r>
      <w:r>
        <w:t xml:space="preserve"> above, or </w:t>
      </w:r>
      <w:r w:rsidR="00E26528">
        <w:t>a unit</w:t>
      </w:r>
      <w:r>
        <w:t xml:space="preserve"> that is equivalent to a product of powers of units listed above that has a distinct physical meaning</w:t>
      </w:r>
      <w:r w:rsidR="00A93CC9">
        <w:t xml:space="preserve">. There are </w:t>
      </w:r>
      <w:r w:rsidR="00D37548">
        <w:t>about 75 standard units that can be identified using the International System of Units</w:t>
      </w:r>
      <w:r w:rsidR="00A93CC9">
        <w:t>, including the “special named derived coherent units”. Examples:</w:t>
      </w:r>
    </w:p>
    <w:p w14:paraId="78376861" w14:textId="00AC59FD" w:rsidR="00A93CC9" w:rsidRDefault="00A93CC9" w:rsidP="00F60BE6">
      <w:pPr>
        <w:ind w:left="1440"/>
      </w:pPr>
    </w:p>
    <w:p w14:paraId="6F04DF0D" w14:textId="2A54AACD" w:rsidR="00A93CC9" w:rsidRDefault="00A93CC9" w:rsidP="00A93CC9">
      <w:pPr>
        <w:ind w:left="2160"/>
      </w:pPr>
      <w:r w:rsidRPr="00A93CC9">
        <w:rPr>
          <w:i/>
          <w:iCs/>
          <w:u w:val="single"/>
        </w:rPr>
        <w:t>ohm</w:t>
      </w:r>
      <w:r>
        <w:t xml:space="preserve"> to measure electrical resistance</w:t>
      </w:r>
    </w:p>
    <w:p w14:paraId="0D2949D3" w14:textId="77777777" w:rsidR="00A93CC9" w:rsidRDefault="00A93CC9" w:rsidP="00A93CC9">
      <w:pPr>
        <w:ind w:left="2160"/>
      </w:pPr>
    </w:p>
    <w:p w14:paraId="2D836122" w14:textId="59E4424F" w:rsidR="00A93CC9" w:rsidRDefault="00D37548" w:rsidP="00A93CC9">
      <w:pPr>
        <w:ind w:left="2160"/>
      </w:pPr>
      <w:r>
        <w:rPr>
          <w:i/>
          <w:iCs/>
          <w:u w:val="single"/>
        </w:rPr>
        <w:t>volt</w:t>
      </w:r>
      <w:r w:rsidR="00A93CC9">
        <w:t xml:space="preserve"> to measure electrical </w:t>
      </w:r>
      <w:r>
        <w:t>potential (usually called voltage)</w:t>
      </w:r>
    </w:p>
    <w:p w14:paraId="57B4E6FE" w14:textId="77777777" w:rsidR="00A93CC9" w:rsidRDefault="00A93CC9" w:rsidP="00A93CC9">
      <w:pPr>
        <w:ind w:left="2160"/>
      </w:pPr>
    </w:p>
    <w:p w14:paraId="432F11FC" w14:textId="6AD585CD" w:rsidR="00A93CC9" w:rsidRDefault="00A93CC9" w:rsidP="00A93CC9">
      <w:pPr>
        <w:ind w:left="2160"/>
      </w:pPr>
      <w:r w:rsidRPr="00A93CC9">
        <w:rPr>
          <w:i/>
          <w:iCs/>
          <w:u w:val="single"/>
        </w:rPr>
        <w:t>Joule per kelvin of entropy</w:t>
      </w:r>
    </w:p>
    <w:p w14:paraId="12088C5B" w14:textId="77777777" w:rsidR="00A93CC9" w:rsidRDefault="00A93CC9" w:rsidP="00A93CC9">
      <w:pPr>
        <w:ind w:left="2160"/>
      </w:pPr>
    </w:p>
    <w:p w14:paraId="43241577" w14:textId="52189AD2" w:rsidR="00A93CC9" w:rsidRDefault="00A93CC9" w:rsidP="00A93CC9">
      <w:pPr>
        <w:ind w:left="2160"/>
      </w:pPr>
      <w:r w:rsidRPr="00A93CC9">
        <w:rPr>
          <w:i/>
          <w:iCs/>
          <w:u w:val="single"/>
        </w:rPr>
        <w:t>Joule per kelvin of heat capacity</w:t>
      </w:r>
    </w:p>
    <w:p w14:paraId="24248594" w14:textId="28253D42" w:rsidR="00F57623" w:rsidRDefault="00F57623" w:rsidP="00A93CC9">
      <w:pPr>
        <w:ind w:left="2160"/>
      </w:pPr>
    </w:p>
    <w:p w14:paraId="37ABD32F" w14:textId="38919EC1" w:rsidR="00F57623" w:rsidRPr="00F57623" w:rsidRDefault="00F57623" w:rsidP="00A93CC9">
      <w:pPr>
        <w:ind w:left="2160"/>
        <w:rPr>
          <w:i/>
          <w:iCs/>
          <w:u w:val="single"/>
        </w:rPr>
      </w:pPr>
      <w:r w:rsidRPr="00F57623">
        <w:rPr>
          <w:i/>
          <w:iCs/>
          <w:u w:val="single"/>
        </w:rPr>
        <w:t>gray of absorbed dose</w:t>
      </w:r>
    </w:p>
    <w:p w14:paraId="640DEA7B" w14:textId="04E95278" w:rsidR="00F57623" w:rsidRDefault="00F57623" w:rsidP="00A93CC9">
      <w:pPr>
        <w:ind w:left="2160"/>
      </w:pPr>
    </w:p>
    <w:p w14:paraId="060D7AA6" w14:textId="6C00FC9E" w:rsidR="00F57623" w:rsidRPr="005168F2" w:rsidRDefault="00F57623" w:rsidP="00A93CC9">
      <w:pPr>
        <w:ind w:left="2160"/>
        <w:rPr>
          <w:i/>
          <w:iCs/>
          <w:u w:val="single"/>
        </w:rPr>
      </w:pPr>
      <w:r w:rsidRPr="005168F2">
        <w:rPr>
          <w:i/>
          <w:iCs/>
          <w:u w:val="single"/>
        </w:rPr>
        <w:t>gray of kinetic energy released per unit mass (</w:t>
      </w:r>
      <w:proofErr w:type="spellStart"/>
      <w:r w:rsidRPr="005168F2">
        <w:rPr>
          <w:i/>
          <w:iCs/>
          <w:u w:val="single"/>
        </w:rPr>
        <w:t>kerma</w:t>
      </w:r>
      <w:proofErr w:type="spellEnd"/>
      <w:r w:rsidRPr="005168F2">
        <w:rPr>
          <w:i/>
          <w:iCs/>
          <w:u w:val="single"/>
        </w:rPr>
        <w:t>)</w:t>
      </w:r>
    </w:p>
    <w:p w14:paraId="13082227" w14:textId="3A12DCCE" w:rsidR="00F57623" w:rsidRPr="00666469" w:rsidRDefault="00F57623" w:rsidP="00A93CC9">
      <w:pPr>
        <w:ind w:left="2160"/>
        <w:rPr>
          <w:i/>
          <w:iCs/>
        </w:rPr>
      </w:pPr>
    </w:p>
    <w:p w14:paraId="00AD8BE1" w14:textId="4290798A" w:rsidR="00F57623" w:rsidRPr="00F57623" w:rsidRDefault="00F57623" w:rsidP="00A93CC9">
      <w:pPr>
        <w:ind w:left="2160"/>
        <w:rPr>
          <w:i/>
          <w:iCs/>
          <w:u w:val="single"/>
        </w:rPr>
      </w:pPr>
      <w:r w:rsidRPr="00F57623">
        <w:rPr>
          <w:i/>
          <w:iCs/>
          <w:u w:val="single"/>
        </w:rPr>
        <w:t>sievert of dose equivalent</w:t>
      </w:r>
    </w:p>
    <w:p w14:paraId="76689CD2" w14:textId="77777777" w:rsidR="00F57623" w:rsidRDefault="00F57623" w:rsidP="00A93CC9">
      <w:pPr>
        <w:ind w:left="2160"/>
      </w:pPr>
    </w:p>
    <w:p w14:paraId="5D989752" w14:textId="18133057" w:rsidR="00EF5C13" w:rsidRDefault="00F57623" w:rsidP="00F57623">
      <w:pPr>
        <w:ind w:left="2160"/>
      </w:pPr>
      <w:r>
        <w:t xml:space="preserve">Note that the last three are all measured in </w:t>
      </w:r>
      <w:r w:rsidR="00E607EE">
        <w:t xml:space="preserve">square meter per square </w:t>
      </w:r>
      <w:proofErr w:type="gramStart"/>
      <w:r w:rsidR="00E607EE">
        <w:t xml:space="preserve">second, </w:t>
      </w:r>
      <w:r>
        <w:t>but</w:t>
      </w:r>
      <w:proofErr w:type="gramEnd"/>
      <w:r>
        <w:t xml:space="preserve"> are treated as separate units because they measure physically different aspects.</w:t>
      </w:r>
      <w:r w:rsidR="00E607EE">
        <w:t xml:space="preserve"> This approach is extended to other cases where a unit has multiple physical meanings.</w:t>
      </w:r>
    </w:p>
    <w:p w14:paraId="02348A96" w14:textId="34B54E52" w:rsidR="00E26528" w:rsidRDefault="00E26528" w:rsidP="00F57623">
      <w:pPr>
        <w:ind w:left="2160"/>
      </w:pPr>
    </w:p>
    <w:p w14:paraId="2A8A719D" w14:textId="7CB89A03" w:rsidR="00E26528" w:rsidRDefault="00E26528" w:rsidP="00E26528">
      <w:pPr>
        <w:ind w:left="1440"/>
      </w:pPr>
      <w:r>
        <w:t>Electricians work with amps, watts, volts, and ohms. To use these standard units, they do not usually need to know the equivalent in kilograms, meters, and seconds. I</w:t>
      </w:r>
      <w:r w:rsidR="005168F2">
        <w:t xml:space="preserve">t’s </w:t>
      </w:r>
      <w:proofErr w:type="gramStart"/>
      <w:r w:rsidR="005168F2">
        <w:t>really not</w:t>
      </w:r>
      <w:proofErr w:type="gramEnd"/>
      <w:r w:rsidR="005168F2">
        <w:t xml:space="preserve"> a problem i</w:t>
      </w:r>
      <w:r>
        <w:t xml:space="preserve">f your electrician does not know what 1 </w:t>
      </w:r>
      <w:r w:rsidRPr="00E26528">
        <w:t>kg m</w:t>
      </w:r>
      <w:r w:rsidRPr="00E26528">
        <w:rPr>
          <w:vertAlign w:val="superscript"/>
        </w:rPr>
        <w:t>2</w:t>
      </w:r>
      <w:r w:rsidRPr="00E26528">
        <w:t xml:space="preserve"> s</w:t>
      </w:r>
      <w:r w:rsidRPr="00E26528">
        <w:rPr>
          <w:vertAlign w:val="superscript"/>
        </w:rPr>
        <w:t>-3</w:t>
      </w:r>
      <w:r w:rsidRPr="00E26528">
        <w:t xml:space="preserve"> A</w:t>
      </w:r>
      <w:r w:rsidRPr="00E26528">
        <w:rPr>
          <w:vertAlign w:val="superscript"/>
        </w:rPr>
        <w:t>-1</w:t>
      </w:r>
      <w:r>
        <w:t xml:space="preserve"> is.</w:t>
      </w:r>
    </w:p>
    <w:p w14:paraId="21DDC02C" w14:textId="5322162D" w:rsidR="00E26528" w:rsidRDefault="00E26528" w:rsidP="00E26528">
      <w:pPr>
        <w:ind w:left="1440"/>
      </w:pPr>
    </w:p>
    <w:p w14:paraId="5DB98D0B" w14:textId="58C88B7A" w:rsidR="00E26528" w:rsidRDefault="00E26528" w:rsidP="00E26528">
      <w:pPr>
        <w:ind w:left="1440"/>
      </w:pPr>
      <w:r>
        <w:t xml:space="preserve">Decomposing standard units to their equivalent expression in base units is analogous to </w:t>
      </w:r>
      <w:r w:rsidR="00666469">
        <w:t xml:space="preserve">factoring a number into </w:t>
      </w:r>
      <w:r>
        <w:t>prime number</w:t>
      </w:r>
      <w:r w:rsidR="00666469">
        <w:t>s</w:t>
      </w:r>
      <w:r>
        <w:t>. It</w:t>
      </w:r>
      <w:r w:rsidR="00F22D4E">
        <w:t xml:space="preserve"> helps </w:t>
      </w:r>
      <w:r>
        <w:t>defin</w:t>
      </w:r>
      <w:r w:rsidR="00F22D4E">
        <w:t>e</w:t>
      </w:r>
      <w:r>
        <w:t xml:space="preserve"> the standard units, but </w:t>
      </w:r>
      <w:r w:rsidR="00F22D4E">
        <w:t xml:space="preserve">is </w:t>
      </w:r>
      <w:r>
        <w:t>not necessary to use them, just we can use the number 1492 without knowing its factorization</w:t>
      </w:r>
      <w:r w:rsidR="00F22D4E">
        <w:t>, or measure volts without understanding its breakdown into base units.</w:t>
      </w:r>
    </w:p>
    <w:p w14:paraId="60202B58" w14:textId="4D2BB70B" w:rsidR="00E26528" w:rsidRDefault="00E26528" w:rsidP="00E26528">
      <w:pPr>
        <w:ind w:left="1440"/>
      </w:pPr>
    </w:p>
    <w:p w14:paraId="211A064D" w14:textId="6C245F48" w:rsidR="00E26528" w:rsidRDefault="00E26528" w:rsidP="00E26528">
      <w:pPr>
        <w:ind w:left="1440"/>
      </w:pPr>
      <w:r>
        <w:t xml:space="preserve">Relying </w:t>
      </w:r>
      <w:r w:rsidR="001136A2">
        <w:t xml:space="preserve">too much </w:t>
      </w:r>
      <w:r>
        <w:t xml:space="preserve">on the equivalent expression in base units can be hazardous to public health; it is the reason the International System of Units created separate names for </w:t>
      </w:r>
      <w:r w:rsidR="00761CC9">
        <w:t>becquerel, gray, and sievert.</w:t>
      </w:r>
      <w:r w:rsidR="00852887">
        <w:t xml:space="preserve"> </w:t>
      </w:r>
    </w:p>
    <w:p w14:paraId="13DD8085" w14:textId="3398198D" w:rsidR="001136A2" w:rsidRDefault="001136A2" w:rsidP="00E26528">
      <w:pPr>
        <w:ind w:left="1440"/>
      </w:pPr>
    </w:p>
    <w:p w14:paraId="6D1908A4" w14:textId="6EA7634B" w:rsidR="001136A2" w:rsidRDefault="001136A2" w:rsidP="001136A2">
      <w:pPr>
        <w:ind w:left="720"/>
      </w:pPr>
      <w:proofErr w:type="spellStart"/>
      <w:r w:rsidRPr="001136A2">
        <w:rPr>
          <w:i/>
          <w:iCs/>
        </w:rPr>
        <w:t>conversionOffset</w:t>
      </w:r>
      <w:proofErr w:type="spellEnd"/>
      <w:r>
        <w:t xml:space="preserve"> and </w:t>
      </w:r>
      <w:proofErr w:type="spellStart"/>
      <w:r w:rsidRPr="001136A2">
        <w:rPr>
          <w:i/>
          <w:iCs/>
        </w:rPr>
        <w:t>conversionFactor</w:t>
      </w:r>
      <w:proofErr w:type="spellEnd"/>
      <w:r>
        <w:t xml:space="preserve"> are used to convert non-standard units like inches or miles to standard units like meters.</w:t>
      </w:r>
    </w:p>
    <w:p w14:paraId="26992E88" w14:textId="5D9ADBAA" w:rsidR="001136A2" w:rsidRDefault="001136A2" w:rsidP="001136A2">
      <w:pPr>
        <w:ind w:left="720"/>
      </w:pPr>
    </w:p>
    <w:p w14:paraId="18E9F4CF" w14:textId="2769154B" w:rsidR="001136A2" w:rsidRDefault="001136A2" w:rsidP="001136A2">
      <w:pPr>
        <w:ind w:left="1440"/>
      </w:pPr>
      <w:r>
        <w:t xml:space="preserve">Conversion rule: add the </w:t>
      </w:r>
      <w:proofErr w:type="spellStart"/>
      <w:r>
        <w:t>conversionOffset</w:t>
      </w:r>
      <w:proofErr w:type="spellEnd"/>
      <w:r>
        <w:t xml:space="preserve"> (default zero), then multiply by the </w:t>
      </w:r>
      <w:proofErr w:type="spellStart"/>
      <w:r>
        <w:t>conversionFactor</w:t>
      </w:r>
      <w:proofErr w:type="spellEnd"/>
      <w:r>
        <w:t>.</w:t>
      </w:r>
    </w:p>
    <w:p w14:paraId="0562994B" w14:textId="329F8AD1" w:rsidR="001136A2" w:rsidRDefault="001136A2" w:rsidP="001136A2">
      <w:pPr>
        <w:ind w:left="1440"/>
      </w:pPr>
    </w:p>
    <w:p w14:paraId="2D9D5316" w14:textId="25F6202E" w:rsidR="001136A2" w:rsidRDefault="001136A2" w:rsidP="001136A2">
      <w:pPr>
        <w:ind w:left="1440"/>
      </w:pPr>
      <w:r>
        <w:t xml:space="preserve">To convert from standard to non-standard, reverse the steps: divide by the </w:t>
      </w:r>
      <w:proofErr w:type="spellStart"/>
      <w:r>
        <w:t>conversionFactor</w:t>
      </w:r>
      <w:proofErr w:type="spellEnd"/>
      <w:r>
        <w:t xml:space="preserve">, then subtract the </w:t>
      </w:r>
      <w:proofErr w:type="spellStart"/>
      <w:r w:rsidR="00F22D4E">
        <w:t>conversionO</w:t>
      </w:r>
      <w:r>
        <w:t>ffset</w:t>
      </w:r>
      <w:proofErr w:type="spellEnd"/>
      <w:r>
        <w:t>.</w:t>
      </w:r>
    </w:p>
    <w:p w14:paraId="46F6754A" w14:textId="77FE7C35" w:rsidR="001136A2" w:rsidRDefault="001136A2" w:rsidP="001136A2">
      <w:pPr>
        <w:ind w:left="720"/>
      </w:pPr>
    </w:p>
    <w:p w14:paraId="6E3AA301" w14:textId="305B14A0" w:rsidR="00D26949" w:rsidRPr="00D26949" w:rsidRDefault="00ED7ACF" w:rsidP="00D26949">
      <w:pPr>
        <w:pStyle w:val="Heading1"/>
        <w:rPr>
          <w:rFonts w:cstheme="majorHAnsi"/>
          <w:sz w:val="28"/>
          <w:szCs w:val="28"/>
        </w:rPr>
      </w:pPr>
      <w:bookmarkStart w:id="3" w:name="_Toc72740517"/>
      <w:r w:rsidRPr="00ED7ACF">
        <w:rPr>
          <w:rFonts w:cstheme="majorHAnsi"/>
          <w:sz w:val="28"/>
          <w:szCs w:val="28"/>
        </w:rPr>
        <w:t>Main usage patterns</w:t>
      </w:r>
      <w:bookmarkEnd w:id="3"/>
    </w:p>
    <w:p w14:paraId="51D8047F" w14:textId="77777777" w:rsidR="00D26949" w:rsidRDefault="00D26949"/>
    <w:p w14:paraId="55D68C20" w14:textId="6BA12792" w:rsidR="008C0423" w:rsidRDefault="00FD0415">
      <w:r>
        <w:t>In general, simpler units are associated with a larger number of context-specific aspects.</w:t>
      </w:r>
      <w:r w:rsidR="00E607EE">
        <w:t xml:space="preserve"> </w:t>
      </w:r>
      <w:r w:rsidR="008C0423">
        <w:t>Business metrics are at the simpler end of the spectrum, and engineering metrics extend into the more complex end.</w:t>
      </w:r>
    </w:p>
    <w:p w14:paraId="2077F744" w14:textId="35559C7C" w:rsidR="008C0423" w:rsidRDefault="008C0423"/>
    <w:p w14:paraId="13FE99EE" w14:textId="1C9B99D6" w:rsidR="008C0423" w:rsidRDefault="008C0423" w:rsidP="008C0423">
      <w:r>
        <w:t>Consistency between unit and aspect can be established by relating aspects to standard units (</w:t>
      </w:r>
      <w:proofErr w:type="gramStart"/>
      <w:r>
        <w:t>e.g.</w:t>
      </w:r>
      <w:proofErr w:type="gramEnd"/>
      <w:r>
        <w:t xml:space="preserve"> with the </w:t>
      </w:r>
      <w:proofErr w:type="spellStart"/>
      <w:r w:rsidRPr="00BA2FA6">
        <w:rPr>
          <w:i/>
          <w:iCs/>
          <w:u w:val="single"/>
        </w:rPr>
        <w:t>hasStandardUnit</w:t>
      </w:r>
      <w:proofErr w:type="spellEnd"/>
      <w:r>
        <w:t xml:space="preserve"> property). In the diagrams below, the aspects on the left side are consistent with the units on the right side because they point to the same standard unit:</w:t>
      </w:r>
    </w:p>
    <w:p w14:paraId="29640033" w14:textId="77777777" w:rsidR="008C0423" w:rsidRDefault="008C0423" w:rsidP="008C0423"/>
    <w:p w14:paraId="7C687BF7" w14:textId="77777777" w:rsidR="008C0423" w:rsidRDefault="008C0423" w:rsidP="008C0423">
      <w:pPr>
        <w:ind w:left="1440"/>
      </w:pPr>
      <w:r w:rsidRPr="00BA2FA6">
        <w:rPr>
          <w:noProof/>
        </w:rPr>
        <w:lastRenderedPageBreak/>
        <w:drawing>
          <wp:inline distT="0" distB="0" distL="0" distR="0" wp14:anchorId="0CE6DCB1" wp14:editId="0FAD3391">
            <wp:extent cx="4396405" cy="198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2248" cy="2001859"/>
                    </a:xfrm>
                    <a:prstGeom prst="rect">
                      <a:avLst/>
                    </a:prstGeom>
                  </pic:spPr>
                </pic:pic>
              </a:graphicData>
            </a:graphic>
          </wp:inline>
        </w:drawing>
      </w:r>
    </w:p>
    <w:p w14:paraId="4F68B1F5" w14:textId="77777777" w:rsidR="008C0423" w:rsidRDefault="008C0423" w:rsidP="008C0423"/>
    <w:p w14:paraId="7E7FEE53" w14:textId="77777777" w:rsidR="008C0423" w:rsidRDefault="008C0423" w:rsidP="008C0423"/>
    <w:p w14:paraId="3060FE0A" w14:textId="77777777" w:rsidR="008C0423" w:rsidRDefault="008C0423"/>
    <w:p w14:paraId="51BAF707" w14:textId="77777777" w:rsidR="008C0423" w:rsidRDefault="008C0423"/>
    <w:p w14:paraId="2D882DAB" w14:textId="22CA9B77" w:rsidR="00FD0415" w:rsidRDefault="00E607EE">
      <w:r>
        <w:t>As they define aspects, Enterprises can use their existing terminology.</w:t>
      </w:r>
    </w:p>
    <w:p w14:paraId="04F6045D" w14:textId="6D120A72" w:rsidR="00FD0415" w:rsidRDefault="00FD0415"/>
    <w:p w14:paraId="6827AD20" w14:textId="09D25B32" w:rsidR="00FD0415" w:rsidRDefault="00FD0415">
      <w:r>
        <w:t xml:space="preserve">Business metrics tend to have </w:t>
      </w:r>
      <w:r w:rsidR="00E607EE">
        <w:t xml:space="preserve">simple </w:t>
      </w:r>
      <w:r>
        <w:t>units of time duration, monetary value, and pure-numeric values like counts, ratios, and percentages. They can include averages over a collection, and reference values such as business targets. In general, dozens of standard business metrics will have the same unit of measure.</w:t>
      </w:r>
    </w:p>
    <w:p w14:paraId="7C01AE0A" w14:textId="677EBEC0" w:rsidR="00FD0415" w:rsidRDefault="00FD0415"/>
    <w:p w14:paraId="0468B52E" w14:textId="0EB6BDD0" w:rsidR="00FD0415" w:rsidRDefault="00FD0415">
      <w:r>
        <w:t>A business typically has products and services that are described with magnitudes. The ones with simpler units may have more corresponding aspects, while the ones with more complex units tend to have fewer, more standardized aspects.</w:t>
      </w:r>
    </w:p>
    <w:p w14:paraId="139C9A06" w14:textId="79CD9A43" w:rsidR="00E61089" w:rsidRDefault="00E61089"/>
    <w:p w14:paraId="5FA4047C" w14:textId="7F9B8FB3" w:rsidR="00E61089" w:rsidRDefault="00E61089">
      <w:r>
        <w:t xml:space="preserve">Ratios and percentages should include the aspect of numerator and denominator to supply meaning.  (how to do this is </w:t>
      </w:r>
      <w:proofErr w:type="spellStart"/>
      <w:r>
        <w:t>tbd</w:t>
      </w:r>
      <w:proofErr w:type="spellEnd"/>
      <w:r>
        <w:t>)</w:t>
      </w:r>
    </w:p>
    <w:p w14:paraId="02463C8B" w14:textId="5B8D5625" w:rsidR="0086547D" w:rsidRDefault="0086547D"/>
    <w:p w14:paraId="7A9CA21C" w14:textId="77777777" w:rsidR="008C0423" w:rsidRDefault="0086547D">
      <w:r>
        <w:t>An Enterprise can profile its existing data to start to normalize units of measure.</w:t>
      </w:r>
    </w:p>
    <w:p w14:paraId="59ED2C39" w14:textId="16C765E4" w:rsidR="00C063B4" w:rsidRDefault="0086547D">
      <w:r>
        <w:t xml:space="preserve"> </w:t>
      </w:r>
    </w:p>
    <w:p w14:paraId="7CAF9277" w14:textId="50272979" w:rsidR="00C063B4" w:rsidRDefault="00C063B4" w:rsidP="00FD0415">
      <w:pPr>
        <w:ind w:left="1440"/>
      </w:pPr>
      <w:r w:rsidRPr="00C063B4">
        <w:rPr>
          <w:noProof/>
        </w:rPr>
        <w:drawing>
          <wp:inline distT="0" distB="0" distL="0" distR="0" wp14:anchorId="7EA3D37D" wp14:editId="2F75FA44">
            <wp:extent cx="4148667" cy="25011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53283" cy="2564240"/>
                    </a:xfrm>
                    <a:prstGeom prst="rect">
                      <a:avLst/>
                    </a:prstGeom>
                  </pic:spPr>
                </pic:pic>
              </a:graphicData>
            </a:graphic>
          </wp:inline>
        </w:drawing>
      </w:r>
    </w:p>
    <w:p w14:paraId="3D753D1B" w14:textId="77777777" w:rsidR="00E97E00" w:rsidRDefault="00E97E00"/>
    <w:p w14:paraId="26A596F9" w14:textId="7166527F" w:rsidR="00C063B4" w:rsidRDefault="0086547D">
      <w:r>
        <w:t xml:space="preserve">The profiling should extract </w:t>
      </w:r>
      <w:r w:rsidR="00C063B4">
        <w:t>aspects as well as units.</w:t>
      </w:r>
    </w:p>
    <w:p w14:paraId="7D77C9B8" w14:textId="77829426" w:rsidR="00E36556" w:rsidRDefault="00E36556"/>
    <w:p w14:paraId="677A5CD4" w14:textId="0FB4624F" w:rsidR="00E36556" w:rsidRDefault="002B118B">
      <w:r>
        <w:t>G</w:t>
      </w:r>
      <w:r w:rsidR="00E36556">
        <w:t>ist could have a pre-defined set of units</w:t>
      </w:r>
      <w:r>
        <w:t>;</w:t>
      </w:r>
      <w:r w:rsidR="00E36556">
        <w:t xml:space="preserve"> </w:t>
      </w:r>
      <w:r>
        <w:t>t</w:t>
      </w:r>
      <w:r w:rsidR="00FF4AE2">
        <w:t xml:space="preserve">he </w:t>
      </w:r>
      <w:r>
        <w:t>user</w:t>
      </w:r>
      <w:r w:rsidR="00FF4AE2">
        <w:t xml:space="preserve"> could select simple units they want (inch, foot, mile) and the aspects they want (radiant flux, ACV, etc.) and the list of all units with conversions could be </w:t>
      </w:r>
      <w:r w:rsidR="008C0423">
        <w:t>populated into their knowledge graph</w:t>
      </w:r>
      <w:r w:rsidR="00FF4AE2">
        <w:t>.</w:t>
      </w:r>
      <w:r>
        <w:t xml:space="preserve"> Or units could be set up automatically during data profiling.</w:t>
      </w:r>
    </w:p>
    <w:p w14:paraId="6E8251F9" w14:textId="1C5AD1CF" w:rsidR="00C063B4" w:rsidRDefault="00C063B4" w:rsidP="00C063B4">
      <w:pPr>
        <w:ind w:left="720"/>
      </w:pPr>
    </w:p>
    <w:p w14:paraId="37EAB8E3" w14:textId="77777777" w:rsidR="00727390" w:rsidRDefault="00727390" w:rsidP="00727390">
      <w:r>
        <w:t>Statistical metrics can be calculated whenever the units are the same. We can think of an average as an aspect of a collection and use it in combination with any other aspect or unit of measure. For example:</w:t>
      </w:r>
    </w:p>
    <w:p w14:paraId="42C3BD92" w14:textId="77777777" w:rsidR="00727390" w:rsidRDefault="00727390" w:rsidP="00727390"/>
    <w:p w14:paraId="6A4C7376" w14:textId="77777777" w:rsidR="00727390" w:rsidRDefault="00727390" w:rsidP="00727390"/>
    <w:p w14:paraId="11F66583" w14:textId="4F2716FA" w:rsidR="00727390" w:rsidRDefault="002B118B" w:rsidP="00727390">
      <w:pPr>
        <w:ind w:left="1440"/>
      </w:pPr>
      <w:r w:rsidRPr="002B118B">
        <w:rPr>
          <w:noProof/>
        </w:rPr>
        <w:drawing>
          <wp:inline distT="0" distB="0" distL="0" distR="0" wp14:anchorId="29A94C0A" wp14:editId="5EE91E4D">
            <wp:extent cx="3307743"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31087" cy="1227804"/>
                    </a:xfrm>
                    <a:prstGeom prst="rect">
                      <a:avLst/>
                    </a:prstGeom>
                  </pic:spPr>
                </pic:pic>
              </a:graphicData>
            </a:graphic>
          </wp:inline>
        </w:drawing>
      </w:r>
    </w:p>
    <w:p w14:paraId="34A11ECB" w14:textId="77777777" w:rsidR="00727390" w:rsidRDefault="00727390" w:rsidP="00727390"/>
    <w:p w14:paraId="2427212C" w14:textId="77777777" w:rsidR="00727390" w:rsidRDefault="00727390" w:rsidP="00727390">
      <w:r>
        <w:t xml:space="preserve">It is common to want to know how accurate measurements are. We can think of </w:t>
      </w:r>
      <w:r w:rsidRPr="00D863A8">
        <w:rPr>
          <w:i/>
          <w:iCs/>
        </w:rPr>
        <w:t>precision</w:t>
      </w:r>
      <w:r>
        <w:t xml:space="preserve"> as an aspect of a measurement method and, like an average, we can use it in combination with various aspects and units of measure. For example:</w:t>
      </w:r>
    </w:p>
    <w:p w14:paraId="0C305D25" w14:textId="77777777" w:rsidR="00727390" w:rsidRDefault="00727390" w:rsidP="00727390"/>
    <w:p w14:paraId="367204D9" w14:textId="77777777" w:rsidR="00727390" w:rsidRDefault="00727390" w:rsidP="00727390"/>
    <w:p w14:paraId="4F30B958" w14:textId="77777777" w:rsidR="00727390" w:rsidRDefault="00727390" w:rsidP="00727390">
      <w:pPr>
        <w:ind w:left="1440"/>
      </w:pPr>
      <w:r w:rsidRPr="00AA444F">
        <w:rPr>
          <w:noProof/>
        </w:rPr>
        <w:drawing>
          <wp:inline distT="0" distB="0" distL="0" distR="0" wp14:anchorId="5BCEB7B2" wp14:editId="246A1EA7">
            <wp:extent cx="2853267" cy="1810978"/>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72208" cy="1823000"/>
                    </a:xfrm>
                    <a:prstGeom prst="rect">
                      <a:avLst/>
                    </a:prstGeom>
                  </pic:spPr>
                </pic:pic>
              </a:graphicData>
            </a:graphic>
          </wp:inline>
        </w:drawing>
      </w:r>
    </w:p>
    <w:p w14:paraId="1B434DDF" w14:textId="77777777" w:rsidR="00727390" w:rsidRDefault="00727390" w:rsidP="00727390"/>
    <w:p w14:paraId="000F22E1" w14:textId="77777777" w:rsidR="00727390" w:rsidRDefault="00727390" w:rsidP="00727390">
      <w:r>
        <w:t>For many practical applications, the errors in measurement follow a normal curve. You might want to adopt a convention that precision represents 2 standard deviations of the error distribution. Then, for a well-calibrated method, there is about a 95% probability that the error in your measurement (absolute value) is less than the precision:</w:t>
      </w:r>
    </w:p>
    <w:p w14:paraId="5FB9D46C" w14:textId="77777777" w:rsidR="00727390" w:rsidRDefault="00727390" w:rsidP="00727390"/>
    <w:p w14:paraId="77172666" w14:textId="77777777" w:rsidR="00727390" w:rsidRDefault="00727390" w:rsidP="00727390"/>
    <w:p w14:paraId="4E290580" w14:textId="77777777" w:rsidR="00727390" w:rsidRDefault="00727390" w:rsidP="00727390">
      <w:pPr>
        <w:ind w:left="2160"/>
      </w:pPr>
      <w:r w:rsidRPr="00D86FDC">
        <w:rPr>
          <w:noProof/>
        </w:rPr>
        <w:lastRenderedPageBreak/>
        <w:drawing>
          <wp:inline distT="0" distB="0" distL="0" distR="0" wp14:anchorId="1626B13B" wp14:editId="6569DFA0">
            <wp:extent cx="3484245" cy="21673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0452" cy="2177387"/>
                    </a:xfrm>
                    <a:prstGeom prst="rect">
                      <a:avLst/>
                    </a:prstGeom>
                  </pic:spPr>
                </pic:pic>
              </a:graphicData>
            </a:graphic>
          </wp:inline>
        </w:drawing>
      </w:r>
    </w:p>
    <w:p w14:paraId="16C4CF74" w14:textId="77777777" w:rsidR="00727390" w:rsidRDefault="00727390" w:rsidP="00727390"/>
    <w:p w14:paraId="2C995146" w14:textId="77777777" w:rsidR="00335164" w:rsidRDefault="00335164" w:rsidP="00335164"/>
    <w:p w14:paraId="71E32E31" w14:textId="51E3A9A5" w:rsidR="00A30EF3" w:rsidRDefault="00A30EF3" w:rsidP="00335164">
      <w:r>
        <w:t xml:space="preserve">The precision is commonly stated as a “plus or minus” value, </w:t>
      </w:r>
      <w:proofErr w:type="gramStart"/>
      <w:r>
        <w:t>e.g.</w:t>
      </w:r>
      <w:proofErr w:type="gramEnd"/>
      <w:r>
        <w:t xml:space="preserve"> weight is 519 kg plus or minus 0.5 kg, meaning there is a 95% chance the actual value falls within that “plus or minus” range.</w:t>
      </w:r>
    </w:p>
    <w:p w14:paraId="6D3D8974" w14:textId="77777777" w:rsidR="00A30EF3" w:rsidRDefault="00A30EF3" w:rsidP="00335164"/>
    <w:p w14:paraId="48690768" w14:textId="337010B4" w:rsidR="00335164" w:rsidRDefault="00335164" w:rsidP="00335164">
      <w:r>
        <w:t xml:space="preserve">If a client needs to do dimensional analysis, properties for </w:t>
      </w:r>
      <w:r w:rsidRPr="00335164">
        <w:rPr>
          <w:i/>
          <w:iCs/>
        </w:rPr>
        <w:t>factor</w:t>
      </w:r>
      <w:r>
        <w:t xml:space="preserve"> and </w:t>
      </w:r>
      <w:r w:rsidRPr="00335164">
        <w:rPr>
          <w:i/>
          <w:iCs/>
        </w:rPr>
        <w:t>exponent</w:t>
      </w:r>
      <w:r>
        <w:t xml:space="preserve"> could be introduced to support expressions in terms of base units or aspects (F = ma, for example).</w:t>
      </w:r>
    </w:p>
    <w:p w14:paraId="5795652A" w14:textId="1956CFCE" w:rsidR="0092690F" w:rsidRDefault="0092690F"/>
    <w:p w14:paraId="2BB3F7D5" w14:textId="673E1B9A" w:rsidR="0025247E" w:rsidRPr="00ED7ACF" w:rsidRDefault="0025247E" w:rsidP="0025247E">
      <w:pPr>
        <w:pStyle w:val="Heading1"/>
        <w:rPr>
          <w:rFonts w:cstheme="majorHAnsi"/>
          <w:sz w:val="28"/>
          <w:szCs w:val="28"/>
        </w:rPr>
      </w:pPr>
      <w:bookmarkStart w:id="4" w:name="_Toc72740518"/>
      <w:r>
        <w:rPr>
          <w:rFonts w:cstheme="majorHAnsi"/>
          <w:sz w:val="28"/>
          <w:szCs w:val="28"/>
        </w:rPr>
        <w:t>Doing math with magnitudes</w:t>
      </w:r>
      <w:bookmarkEnd w:id="4"/>
    </w:p>
    <w:p w14:paraId="323776EE" w14:textId="77777777" w:rsidR="0025247E" w:rsidRDefault="0025247E" w:rsidP="0025247E"/>
    <w:p w14:paraId="2BD4032C" w14:textId="512770AE" w:rsidR="0092690F" w:rsidRDefault="0092690F" w:rsidP="0092690F">
      <w:r>
        <w:t>An Enterprise will want to use quantitative data in calculations and comparisons to answer all kinds of questions. In this section we look at ways to help ensure that the calculation or comparison makes sense.</w:t>
      </w:r>
    </w:p>
    <w:p w14:paraId="711A91E2" w14:textId="235B80AB" w:rsidR="006C1CF9" w:rsidRDefault="006C1CF9" w:rsidP="0092690F"/>
    <w:p w14:paraId="78B3A682" w14:textId="3BF57211" w:rsidR="006C1CF9" w:rsidRDefault="006C1CF9" w:rsidP="006C1CF9">
      <w:r>
        <w:t>Quantities used in multiplication and division are not required to have the same unit of measure:</w:t>
      </w:r>
    </w:p>
    <w:p w14:paraId="1F07D139" w14:textId="77777777" w:rsidR="006C1CF9" w:rsidRDefault="006C1CF9" w:rsidP="006C1CF9"/>
    <w:p w14:paraId="09F24543" w14:textId="77777777" w:rsidR="006C1CF9" w:rsidRDefault="006C1CF9" w:rsidP="006C1CF9">
      <w:pPr>
        <w:ind w:left="720"/>
      </w:pPr>
      <w:r>
        <w:t>3 feet * 4 pounds = 12 foot-pounds</w:t>
      </w:r>
    </w:p>
    <w:p w14:paraId="2E57CEBE" w14:textId="77777777" w:rsidR="006C1CF9" w:rsidRDefault="006C1CF9" w:rsidP="006C1CF9">
      <w:pPr>
        <w:ind w:left="720"/>
      </w:pPr>
    </w:p>
    <w:p w14:paraId="79A319B9" w14:textId="77777777" w:rsidR="006C1CF9" w:rsidRDefault="006C1CF9" w:rsidP="006C1CF9">
      <w:pPr>
        <w:ind w:left="720"/>
      </w:pPr>
      <w:r>
        <w:t>$12 / 4 widgets = 3 dollars/widget</w:t>
      </w:r>
    </w:p>
    <w:p w14:paraId="0863D373" w14:textId="77777777" w:rsidR="006C1CF9" w:rsidRDefault="006C1CF9" w:rsidP="0092690F"/>
    <w:p w14:paraId="3B1AD1F0" w14:textId="1941F3DD" w:rsidR="0092690F" w:rsidRDefault="0092690F" w:rsidP="006C1CF9">
      <w:r>
        <w:t xml:space="preserve">Addition, subtraction, </w:t>
      </w:r>
      <w:r w:rsidR="0014329A">
        <w:t xml:space="preserve">averages, standard deviations, </w:t>
      </w:r>
      <w:r>
        <w:t xml:space="preserve">min, max, greater-than, less-than, </w:t>
      </w:r>
      <w:r w:rsidR="0014329A">
        <w:t xml:space="preserve">and </w:t>
      </w:r>
      <w:r>
        <w:t xml:space="preserve">equal-to, only make mathematical sense if all the numbers have the same unit (or </w:t>
      </w:r>
      <w:r w:rsidR="0014329A">
        <w:t>have been</w:t>
      </w:r>
      <w:r>
        <w:t xml:space="preserve"> converted to the same standard unit):</w:t>
      </w:r>
    </w:p>
    <w:p w14:paraId="1E8E0C84" w14:textId="0B7CBEA1" w:rsidR="0092690F" w:rsidRDefault="0092690F" w:rsidP="006C1CF9"/>
    <w:p w14:paraId="16727F13" w14:textId="6639BA42" w:rsidR="0092690F" w:rsidRDefault="0092690F" w:rsidP="006C1CF9">
      <w:pPr>
        <w:ind w:left="720"/>
      </w:pPr>
      <w:r>
        <w:t>3 feet + 4 feet = (3 + 4) feet = 7 feet</w:t>
      </w:r>
    </w:p>
    <w:p w14:paraId="4FAB6458" w14:textId="7D357329" w:rsidR="00703A79" w:rsidRDefault="00703A79" w:rsidP="006C1CF9">
      <w:pPr>
        <w:ind w:left="720"/>
      </w:pPr>
    </w:p>
    <w:p w14:paraId="068FDB04" w14:textId="6FF70C2A" w:rsidR="00703A79" w:rsidRDefault="00A44D7A" w:rsidP="006C1CF9">
      <w:pPr>
        <w:ind w:left="720"/>
      </w:pPr>
      <w:r>
        <w:t>(</w:t>
      </w:r>
      <w:r w:rsidR="00703A79">
        <w:t>3 feet + 4 watts</w:t>
      </w:r>
      <w:r>
        <w:t>)</w:t>
      </w:r>
      <w:r w:rsidR="00703A79">
        <w:t xml:space="preserve"> does not make mathematical sense</w:t>
      </w:r>
      <w:r w:rsidR="0014329A">
        <w:t>, or physical sense</w:t>
      </w:r>
    </w:p>
    <w:p w14:paraId="22808DC7" w14:textId="38CBD7DF" w:rsidR="00EE38D1" w:rsidRDefault="00EE38D1" w:rsidP="006C1CF9">
      <w:pPr>
        <w:ind w:left="720"/>
      </w:pPr>
    </w:p>
    <w:p w14:paraId="13D63545" w14:textId="10C3E155" w:rsidR="006C1CF9" w:rsidRDefault="006C1CF9" w:rsidP="006C1CF9">
      <w:r>
        <w:t xml:space="preserve">A calculation in which the units are all the same, and the aspects are all the same will </w:t>
      </w:r>
      <w:r w:rsidR="00811694">
        <w:t xml:space="preserve">usually </w:t>
      </w:r>
      <w:r>
        <w:t>make “business sense” or physical sense:</w:t>
      </w:r>
    </w:p>
    <w:p w14:paraId="66350B83" w14:textId="1C07904F" w:rsidR="006C1CF9" w:rsidRDefault="006C1CF9" w:rsidP="006C1CF9"/>
    <w:p w14:paraId="2379AB51" w14:textId="2E498D25" w:rsidR="006C1CF9" w:rsidRDefault="00A44D7A" w:rsidP="006C1CF9">
      <w:pPr>
        <w:ind w:left="720"/>
      </w:pPr>
      <w:r>
        <w:t>a</w:t>
      </w:r>
      <w:r w:rsidR="006C1CF9">
        <w:t>verage cost of customer acquisition</w:t>
      </w:r>
      <w:r>
        <w:t xml:space="preserve"> (all in the same units)</w:t>
      </w:r>
    </w:p>
    <w:p w14:paraId="6A906635" w14:textId="40ADF4F7" w:rsidR="006C1CF9" w:rsidRDefault="006C1CF9" w:rsidP="006C1CF9">
      <w:pPr>
        <w:ind w:left="720"/>
      </w:pPr>
    </w:p>
    <w:p w14:paraId="6C9B8F47" w14:textId="29311384" w:rsidR="006C1CF9" w:rsidRDefault="00A44D7A" w:rsidP="006C1CF9">
      <w:pPr>
        <w:ind w:left="720"/>
      </w:pPr>
      <w:r>
        <w:t>a</w:t>
      </w:r>
      <w:r w:rsidR="006C1CF9">
        <w:t xml:space="preserve">verage </w:t>
      </w:r>
      <w:r w:rsidR="00811694">
        <w:t>luminous flux</w:t>
      </w:r>
      <w:r>
        <w:t xml:space="preserve"> (all in the same units)</w:t>
      </w:r>
    </w:p>
    <w:p w14:paraId="2EDA2E73" w14:textId="0334AB07" w:rsidR="00811694" w:rsidRDefault="00811694" w:rsidP="006C1CF9">
      <w:pPr>
        <w:ind w:left="720"/>
      </w:pPr>
    </w:p>
    <w:p w14:paraId="1691D654" w14:textId="343625CD" w:rsidR="00811694" w:rsidRDefault="00811694" w:rsidP="00811694">
      <w:r>
        <w:t>… but not always:</w:t>
      </w:r>
    </w:p>
    <w:p w14:paraId="1C54FBAC" w14:textId="63FB7A73" w:rsidR="00811694" w:rsidRDefault="00811694" w:rsidP="00811694"/>
    <w:p w14:paraId="428352D7" w14:textId="285C7A23" w:rsidR="00811694" w:rsidRDefault="00811694" w:rsidP="00811694">
      <w:pPr>
        <w:ind w:left="720"/>
      </w:pPr>
      <w:r>
        <w:t xml:space="preserve">cabinet1 depth + cabinet2 depth + cabinet3 depth </w:t>
      </w:r>
      <w:r w:rsidR="00755F82">
        <w:t>is probably not useful during kitchen design (but possibly for shipping)</w:t>
      </w:r>
      <w:r w:rsidR="00A44D7A">
        <w:t>.</w:t>
      </w:r>
    </w:p>
    <w:p w14:paraId="064B5E20" w14:textId="77777777" w:rsidR="00811694" w:rsidRDefault="00811694" w:rsidP="00811694">
      <w:pPr>
        <w:ind w:left="720"/>
      </w:pPr>
    </w:p>
    <w:p w14:paraId="332B5D5E" w14:textId="1325E5E8" w:rsidR="00811694" w:rsidRDefault="00811694" w:rsidP="00811694">
      <w:r>
        <w:t>Having different aspects can be used as a caution that a result might not make sense:</w:t>
      </w:r>
    </w:p>
    <w:p w14:paraId="2FF1B040" w14:textId="66035F37" w:rsidR="00811694" w:rsidRDefault="00811694" w:rsidP="00811694"/>
    <w:p w14:paraId="2A68A443" w14:textId="475D0956" w:rsidR="00811694" w:rsidRDefault="00A44D7A" w:rsidP="00811694">
      <w:pPr>
        <w:ind w:left="720"/>
      </w:pPr>
      <w:r>
        <w:t>a</w:t>
      </w:r>
      <w:r w:rsidR="00811694">
        <w:t xml:space="preserve">verage of </w:t>
      </w:r>
      <w:r w:rsidR="0014329A">
        <w:t>(</w:t>
      </w:r>
      <w:r w:rsidR="00811694">
        <w:t>costs of customer acquisitions and costs of materials</w:t>
      </w:r>
      <w:r w:rsidR="0014329A">
        <w:t>) could trigger a warning</w:t>
      </w:r>
    </w:p>
    <w:p w14:paraId="0C6F32A4" w14:textId="20F66FB5" w:rsidR="00811694" w:rsidRDefault="00811694" w:rsidP="00811694">
      <w:pPr>
        <w:ind w:left="720"/>
      </w:pPr>
    </w:p>
    <w:p w14:paraId="2DEDAD44" w14:textId="5A49D7D1" w:rsidR="00811694" w:rsidRDefault="00811694" w:rsidP="00811694">
      <w:r>
        <w:t>… but different aspect</w:t>
      </w:r>
      <w:r w:rsidR="00A44D7A">
        <w:t>s</w:t>
      </w:r>
      <w:r>
        <w:t xml:space="preserve"> do not always indicate an error:</w:t>
      </w:r>
    </w:p>
    <w:p w14:paraId="0C448F2F" w14:textId="3D35C269" w:rsidR="00EE38D1" w:rsidRDefault="00EE38D1" w:rsidP="006C1CF9"/>
    <w:p w14:paraId="527002CC" w14:textId="5F0BE63D" w:rsidR="00EE38D1" w:rsidRDefault="00811694" w:rsidP="006C1CF9">
      <w:pPr>
        <w:ind w:left="720"/>
      </w:pPr>
      <w:r>
        <w:t>c</w:t>
      </w:r>
      <w:r w:rsidR="00EE38D1">
        <w:t>abinet height + countertop thickness makes sense</w:t>
      </w:r>
    </w:p>
    <w:p w14:paraId="589E5B3D" w14:textId="4E1F08A7" w:rsidR="00EE38D1" w:rsidRDefault="00EE38D1" w:rsidP="006C1CF9">
      <w:pPr>
        <w:ind w:left="720"/>
      </w:pPr>
    </w:p>
    <w:p w14:paraId="4BC90D76" w14:textId="50C75E1D" w:rsidR="00EE38D1" w:rsidRDefault="00811694" w:rsidP="00811694">
      <w:r>
        <w:t xml:space="preserve">Given this set of examples, any set of constraints to be put on calculations based on aspect should be carefully thought </w:t>
      </w:r>
      <w:r w:rsidR="00A44D7A">
        <w:t>out</w:t>
      </w:r>
      <w:r>
        <w:t>.</w:t>
      </w:r>
      <w:r w:rsidR="0014329A">
        <w:t xml:space="preserve"> The ontology itself does not constrain the way the data is used; SHACL can be used for constraints where needed.</w:t>
      </w:r>
    </w:p>
    <w:p w14:paraId="6AB3AA74" w14:textId="099F16EF" w:rsidR="00395AC9" w:rsidRDefault="00395AC9" w:rsidP="006C1CF9"/>
    <w:p w14:paraId="2B372FD2" w14:textId="7E468F80" w:rsidR="00ED7ACF" w:rsidRPr="00ED7ACF" w:rsidRDefault="00FF081E" w:rsidP="00ED7ACF">
      <w:pPr>
        <w:pStyle w:val="Heading1"/>
        <w:rPr>
          <w:rFonts w:cstheme="majorHAnsi"/>
          <w:sz w:val="28"/>
          <w:szCs w:val="28"/>
        </w:rPr>
      </w:pPr>
      <w:bookmarkStart w:id="5" w:name="_Toc72740519"/>
      <w:r>
        <w:rPr>
          <w:rFonts w:cstheme="majorHAnsi"/>
          <w:sz w:val="28"/>
          <w:szCs w:val="28"/>
        </w:rPr>
        <w:t>Standard</w:t>
      </w:r>
      <w:r w:rsidR="00ED7ACF" w:rsidRPr="00ED7ACF">
        <w:rPr>
          <w:rFonts w:cstheme="majorHAnsi"/>
          <w:sz w:val="28"/>
          <w:szCs w:val="28"/>
        </w:rPr>
        <w:t xml:space="preserve"> Units</w:t>
      </w:r>
      <w:bookmarkEnd w:id="5"/>
    </w:p>
    <w:p w14:paraId="0D12B53E" w14:textId="4D3CC50E" w:rsidR="00ED7ACF" w:rsidRDefault="00ED7ACF"/>
    <w:p w14:paraId="6E037B53" w14:textId="66CEECFC" w:rsidR="00BA2FA6" w:rsidRDefault="00BA2FA6">
      <w:r>
        <w:t>Gist standard units are based on the International System of Units, with some enhancements. Gist adds bit and US Dollar. Other differences are described below.</w:t>
      </w:r>
    </w:p>
    <w:p w14:paraId="33790013" w14:textId="44049E36" w:rsidR="00BA2FA6" w:rsidRDefault="00BA2FA6"/>
    <w:p w14:paraId="00365823" w14:textId="78AD3759" w:rsidR="00BA2FA6" w:rsidRDefault="00BA2FA6">
      <w:r>
        <w:t xml:space="preserve">Celsius is </w:t>
      </w:r>
      <w:r w:rsidR="00755F82">
        <w:t xml:space="preserve">treated as a coherent unit in SI, but </w:t>
      </w:r>
      <w:r>
        <w:t xml:space="preserve">not included </w:t>
      </w:r>
      <w:r w:rsidR="00755F82">
        <w:t>as a</w:t>
      </w:r>
      <w:r>
        <w:t xml:space="preserve"> standard unit because it measures the same physical characteristic as Kelvin. In gist, every standard unit (except US Dollar) has a distinct physical meaning.</w:t>
      </w:r>
    </w:p>
    <w:p w14:paraId="7A869B50" w14:textId="19014ED1" w:rsidR="00BA2FA6" w:rsidRDefault="00BA2FA6"/>
    <w:p w14:paraId="62395A0D" w14:textId="2F4113BD" w:rsidR="00BA2FA6" w:rsidRDefault="00BA2FA6">
      <w:r>
        <w:t xml:space="preserve">Velocity </w:t>
      </w:r>
      <w:r w:rsidR="00755F82">
        <w:t xml:space="preserve">is treated as an aspect in SI, but this is not consistent with the definition in physics. A velocity </w:t>
      </w:r>
      <w:r>
        <w:t>should be thought of as a thing that has a direction and a speed</w:t>
      </w:r>
      <w:r w:rsidR="00755F82">
        <w:t>, so velocity is a “thing” that has a magnitude (the speed), rather than an aspect.</w:t>
      </w:r>
    </w:p>
    <w:p w14:paraId="67607914" w14:textId="7B11E721" w:rsidR="00BA2FA6" w:rsidRDefault="00BA2FA6"/>
    <w:p w14:paraId="78DCC848" w14:textId="7089CBC1" w:rsidR="00BA2FA6" w:rsidRDefault="00BA2FA6">
      <w:r>
        <w:t>The SI Brochure cautions that some units only have physical meaning when paired with their aspect:</w:t>
      </w:r>
    </w:p>
    <w:p w14:paraId="715AA060" w14:textId="3CC7670E" w:rsidR="00BA2FA6" w:rsidRDefault="00BA2FA6"/>
    <w:p w14:paraId="48C95861" w14:textId="7C37F7A4" w:rsidR="00BA2FA6" w:rsidRDefault="009751FF" w:rsidP="00BA2FA6">
      <w:pPr>
        <w:ind w:left="720"/>
      </w:pPr>
      <w:r w:rsidRPr="009751FF">
        <w:t>"several different quantities may share the same SI unit"</w:t>
      </w:r>
    </w:p>
    <w:p w14:paraId="0A244365" w14:textId="2C3A3410" w:rsidR="005168F2" w:rsidRDefault="005168F2" w:rsidP="00BA2FA6">
      <w:pPr>
        <w:ind w:left="720"/>
      </w:pPr>
    </w:p>
    <w:p w14:paraId="2E3DD094" w14:textId="02A1E011" w:rsidR="005168F2" w:rsidRDefault="005168F2" w:rsidP="005168F2">
      <w:pPr>
        <w:ind w:left="720"/>
      </w:pPr>
      <w:r>
        <w:t xml:space="preserve">See the </w:t>
      </w:r>
      <w:hyperlink r:id="rId13" w:history="1">
        <w:r w:rsidRPr="00F22D4E">
          <w:rPr>
            <w:rStyle w:val="Hyperlink"/>
          </w:rPr>
          <w:t>Brochure</w:t>
        </w:r>
      </w:hyperlink>
      <w:r>
        <w:t>, section 2.3.4 for more explanation.</w:t>
      </w:r>
    </w:p>
    <w:p w14:paraId="3EABB43E" w14:textId="6171C1CD" w:rsidR="009751FF" w:rsidRDefault="009751FF" w:rsidP="005168F2"/>
    <w:p w14:paraId="30A5B83C" w14:textId="765FAADA" w:rsidR="00C21A0F" w:rsidRDefault="00C21A0F" w:rsidP="009751FF">
      <w:r>
        <w:lastRenderedPageBreak/>
        <w:t>Rather than rely on code to pair up the unit with the aspect to interpret the data, the pairing is done by defining a separate unit for each physically distinct aspect</w:t>
      </w:r>
      <w:r w:rsidR="0017528C">
        <w:t xml:space="preserve"> (</w:t>
      </w:r>
      <w:r w:rsidR="0017528C" w:rsidRPr="0017528C">
        <w:rPr>
          <w:highlight w:val="lightGray"/>
        </w:rPr>
        <w:t>business metrics will be discussed separately</w:t>
      </w:r>
      <w:r w:rsidR="0017528C">
        <w:t>)</w:t>
      </w:r>
      <w:r>
        <w:t>. For example:</w:t>
      </w:r>
    </w:p>
    <w:p w14:paraId="1A4E7745" w14:textId="4F42423F" w:rsidR="00C21A0F" w:rsidRDefault="00C21A0F" w:rsidP="009751FF"/>
    <w:p w14:paraId="3BF43CDC" w14:textId="6346D2B7" w:rsidR="00C21A0F" w:rsidRDefault="00C21A0F" w:rsidP="00C21A0F">
      <w:pPr>
        <w:ind w:left="720"/>
      </w:pPr>
      <w:r>
        <w:t xml:space="preserve">The unit </w:t>
      </w:r>
      <w:r w:rsidRPr="00C21A0F">
        <w:rPr>
          <w:i/>
          <w:iCs/>
        </w:rPr>
        <w:t>watt</w:t>
      </w:r>
      <w:r>
        <w:t xml:space="preserve"> and the aspect </w:t>
      </w:r>
      <w:r w:rsidRPr="00C21A0F">
        <w:rPr>
          <w:i/>
          <w:iCs/>
        </w:rPr>
        <w:t>electrical power</w:t>
      </w:r>
      <w:r>
        <w:t xml:space="preserve"> are combined to form </w:t>
      </w:r>
      <w:r w:rsidRPr="00C21A0F">
        <w:rPr>
          <w:i/>
          <w:iCs/>
        </w:rPr>
        <w:t>watt of power</w:t>
      </w:r>
      <w:r>
        <w:t>.</w:t>
      </w:r>
    </w:p>
    <w:p w14:paraId="2F0E9B09" w14:textId="5E5E78F7" w:rsidR="00C21A0F" w:rsidRDefault="00C21A0F" w:rsidP="00C21A0F">
      <w:pPr>
        <w:ind w:left="720"/>
      </w:pPr>
    </w:p>
    <w:p w14:paraId="69538D9F" w14:textId="22C7F93F" w:rsidR="00C21A0F" w:rsidRDefault="00C21A0F" w:rsidP="00C21A0F">
      <w:pPr>
        <w:ind w:left="720"/>
      </w:pPr>
      <w:r>
        <w:t xml:space="preserve">The unit </w:t>
      </w:r>
      <w:r w:rsidRPr="00C21A0F">
        <w:rPr>
          <w:i/>
          <w:iCs/>
        </w:rPr>
        <w:t>watt</w:t>
      </w:r>
      <w:r>
        <w:t xml:space="preserve"> and the aspect </w:t>
      </w:r>
      <w:r w:rsidRPr="00C21A0F">
        <w:rPr>
          <w:i/>
          <w:iCs/>
        </w:rPr>
        <w:t>radiant flux</w:t>
      </w:r>
      <w:r>
        <w:t xml:space="preserve"> are combined to form </w:t>
      </w:r>
      <w:r w:rsidRPr="00C21A0F">
        <w:rPr>
          <w:i/>
          <w:iCs/>
        </w:rPr>
        <w:t>watt of radiant flux</w:t>
      </w:r>
      <w:r>
        <w:t>.</w:t>
      </w:r>
    </w:p>
    <w:p w14:paraId="6CB1B5D5" w14:textId="7899A54F" w:rsidR="0017528C" w:rsidRDefault="0017528C" w:rsidP="00C21A0F">
      <w:pPr>
        <w:ind w:left="720"/>
      </w:pPr>
    </w:p>
    <w:p w14:paraId="5E69AF48" w14:textId="2B270F24" w:rsidR="0017528C" w:rsidRDefault="0017528C" w:rsidP="0017528C">
      <w:pPr>
        <w:ind w:left="720"/>
      </w:pPr>
      <w:r>
        <w:t xml:space="preserve">When a Magnitude is created for electrical power, </w:t>
      </w:r>
      <w:r w:rsidRPr="0017528C">
        <w:rPr>
          <w:i/>
          <w:iCs/>
        </w:rPr>
        <w:t>watt of power</w:t>
      </w:r>
      <w:r>
        <w:t xml:space="preserve"> should be selected, and this will help prevent calculations that would conflate it with a watt of radiant flux.</w:t>
      </w:r>
    </w:p>
    <w:p w14:paraId="3967CE7F" w14:textId="77777777" w:rsidR="0017528C" w:rsidRDefault="0017528C" w:rsidP="00C21A0F">
      <w:pPr>
        <w:ind w:left="720"/>
      </w:pPr>
    </w:p>
    <w:p w14:paraId="6044909D" w14:textId="77777777" w:rsidR="00C21A0F" w:rsidRDefault="00C21A0F" w:rsidP="00C21A0F"/>
    <w:p w14:paraId="7FB04965" w14:textId="4F4828B6" w:rsidR="00C202C4" w:rsidRDefault="00C202C4" w:rsidP="00C202C4">
      <w:pPr>
        <w:ind w:left="720"/>
      </w:pPr>
      <w:r w:rsidRPr="001E398B">
        <w:rPr>
          <w:highlight w:val="lightGray"/>
        </w:rPr>
        <w:t xml:space="preserve">[ </w:t>
      </w:r>
      <w:r w:rsidR="001E398B" w:rsidRPr="001E398B">
        <w:rPr>
          <w:highlight w:val="lightGray"/>
        </w:rPr>
        <w:t xml:space="preserve">also consider </w:t>
      </w:r>
      <w:proofErr w:type="gramStart"/>
      <w:r w:rsidR="001E398B" w:rsidRPr="001E398B">
        <w:rPr>
          <w:highlight w:val="lightGray"/>
        </w:rPr>
        <w:t>interoperability, since</w:t>
      </w:r>
      <w:proofErr w:type="gramEnd"/>
      <w:r w:rsidR="001E398B" w:rsidRPr="001E398B">
        <w:rPr>
          <w:highlight w:val="lightGray"/>
        </w:rPr>
        <w:t xml:space="preserve"> SI is a well-established standard. Interfacing with an SI compliant application requires exchange of unit and aspect to ensure physically meaningful units. An initial evaluation seems to suggest the approach above is ok. Check to see if names like watt are normative in SI</w:t>
      </w:r>
      <w:proofErr w:type="gramStart"/>
      <w:r w:rsidR="001E398B" w:rsidRPr="001E398B">
        <w:rPr>
          <w:highlight w:val="lightGray"/>
        </w:rPr>
        <w:t>. ]</w:t>
      </w:r>
      <w:proofErr w:type="gramEnd"/>
    </w:p>
    <w:p w14:paraId="7D520A13" w14:textId="77777777" w:rsidR="00C202C4" w:rsidRDefault="00C202C4" w:rsidP="00C21A0F"/>
    <w:p w14:paraId="7F72FA3C" w14:textId="77777777" w:rsidR="00C21A0F" w:rsidRDefault="00C21A0F" w:rsidP="009751FF"/>
    <w:p w14:paraId="6424AFD6" w14:textId="48495B30" w:rsidR="009751FF" w:rsidRDefault="009751FF" w:rsidP="009751FF">
      <w:r>
        <w:t>Here are the cases in which physically distinct aspects share the same SI unit</w:t>
      </w:r>
      <w:r w:rsidR="00CE155E">
        <w:t xml:space="preserve">, and where separate </w:t>
      </w:r>
      <w:r w:rsidR="008B3E43">
        <w:t xml:space="preserve">standard </w:t>
      </w:r>
      <w:r w:rsidR="00CE155E">
        <w:t xml:space="preserve">units </w:t>
      </w:r>
      <w:r w:rsidR="00DF05CD">
        <w:t>should be</w:t>
      </w:r>
      <w:r w:rsidR="00CE155E">
        <w:t xml:space="preserve"> </w:t>
      </w:r>
      <w:r w:rsidR="008B3E43">
        <w:t>created</w:t>
      </w:r>
      <w:r>
        <w:t>:</w:t>
      </w:r>
    </w:p>
    <w:p w14:paraId="5A3AE0D0" w14:textId="77777777" w:rsidR="009751FF" w:rsidRDefault="009751FF" w:rsidP="009751FF"/>
    <w:p w14:paraId="5B28EEAC" w14:textId="1FCF5F7C" w:rsidR="009751FF" w:rsidRDefault="009751FF" w:rsidP="009751FF">
      <w:pPr>
        <w:ind w:left="720"/>
      </w:pPr>
      <w:r>
        <w:t>electric displacement, electric flux density, and surface charge density (</w:t>
      </w:r>
      <w:r w:rsidRPr="009751FF">
        <w:t>A s m</w:t>
      </w:r>
      <w:r w:rsidRPr="009751FF">
        <w:rPr>
          <w:vertAlign w:val="superscript"/>
        </w:rPr>
        <w:t>-2</w:t>
      </w:r>
      <w:r w:rsidRPr="009751FF">
        <w:t>)</w:t>
      </w:r>
    </w:p>
    <w:p w14:paraId="718EDC4E" w14:textId="10A68863" w:rsidR="009751FF" w:rsidRDefault="009751FF" w:rsidP="009751FF">
      <w:pPr>
        <w:ind w:left="720"/>
      </w:pPr>
    </w:p>
    <w:p w14:paraId="5FCAEEBE" w14:textId="14797AC5" w:rsidR="009751FF" w:rsidRDefault="006D2D04" w:rsidP="006D2D04">
      <w:pPr>
        <w:ind w:left="720"/>
      </w:pPr>
      <w:r>
        <w:t>energy density, pressure, stress (</w:t>
      </w:r>
      <w:r w:rsidR="00E677E7" w:rsidRPr="00E677E7">
        <w:t>kg m</w:t>
      </w:r>
      <w:r w:rsidR="00E677E7" w:rsidRPr="00E677E7">
        <w:rPr>
          <w:vertAlign w:val="superscript"/>
        </w:rPr>
        <w:t>-1</w:t>
      </w:r>
      <w:r w:rsidR="00E677E7" w:rsidRPr="00E677E7">
        <w:t xml:space="preserve"> s</w:t>
      </w:r>
      <w:r w:rsidR="00E677E7" w:rsidRPr="00E677E7">
        <w:rPr>
          <w:vertAlign w:val="superscript"/>
        </w:rPr>
        <w:t>-2</w:t>
      </w:r>
      <w:r w:rsidR="00E677E7" w:rsidRPr="00E677E7">
        <w:t>)</w:t>
      </w:r>
    </w:p>
    <w:p w14:paraId="136786ED" w14:textId="05AFDDC9" w:rsidR="00E677E7" w:rsidRDefault="00E677E7" w:rsidP="006D2D04">
      <w:pPr>
        <w:ind w:left="720"/>
      </w:pPr>
    </w:p>
    <w:p w14:paraId="46DC1786" w14:textId="31B490B8" w:rsidR="00E677E7" w:rsidRDefault="00B93A5F" w:rsidP="00B93A5F">
      <w:pPr>
        <w:ind w:left="720"/>
      </w:pPr>
      <w:r>
        <w:t>energy, amount of heat, work, moment of force (kg m</w:t>
      </w:r>
      <w:r w:rsidRPr="00B93A5F">
        <w:rPr>
          <w:vertAlign w:val="superscript"/>
        </w:rPr>
        <w:t>-2</w:t>
      </w:r>
      <w:r>
        <w:t xml:space="preserve"> s</w:t>
      </w:r>
      <w:r w:rsidRPr="00B93A5F">
        <w:rPr>
          <w:vertAlign w:val="superscript"/>
        </w:rPr>
        <w:t>-2</w:t>
      </w:r>
      <w:r>
        <w:t>)</w:t>
      </w:r>
    </w:p>
    <w:p w14:paraId="17E0A315" w14:textId="055EB0B1" w:rsidR="00BA2FA6" w:rsidRDefault="00BA2FA6"/>
    <w:p w14:paraId="1CAD2D73" w14:textId="6A170702" w:rsidR="009751FF" w:rsidRDefault="00076635" w:rsidP="00076635">
      <w:pPr>
        <w:ind w:left="720"/>
      </w:pPr>
      <w:r>
        <w:t>entropy, heat capacity (</w:t>
      </w:r>
      <w:r w:rsidRPr="00076635">
        <w:t>kg m</w:t>
      </w:r>
      <w:r w:rsidRPr="00076635">
        <w:rPr>
          <w:vertAlign w:val="superscript"/>
        </w:rPr>
        <w:t>2</w:t>
      </w:r>
      <w:r w:rsidRPr="00076635">
        <w:t xml:space="preserve"> s</w:t>
      </w:r>
      <w:r w:rsidRPr="00076635">
        <w:rPr>
          <w:vertAlign w:val="superscript"/>
        </w:rPr>
        <w:t>-2</w:t>
      </w:r>
      <w:r w:rsidRPr="00076635">
        <w:t xml:space="preserve"> K</w:t>
      </w:r>
      <w:r w:rsidRPr="00076635">
        <w:rPr>
          <w:vertAlign w:val="superscript"/>
        </w:rPr>
        <w:t>-1</w:t>
      </w:r>
      <w:r w:rsidRPr="00076635">
        <w:t>)</w:t>
      </w:r>
    </w:p>
    <w:p w14:paraId="1074B504" w14:textId="68511366" w:rsidR="00076635" w:rsidRDefault="00076635" w:rsidP="00076635">
      <w:pPr>
        <w:ind w:left="720"/>
      </w:pPr>
    </w:p>
    <w:p w14:paraId="09620BB2" w14:textId="7B2AD2B3" w:rsidR="00076635" w:rsidRDefault="00585918" w:rsidP="00585918">
      <w:pPr>
        <w:ind w:left="720"/>
      </w:pPr>
      <w:r>
        <w:t>molar entropy, molar heat capacity (</w:t>
      </w:r>
      <w:r w:rsidRPr="00076635">
        <w:t>kg m</w:t>
      </w:r>
      <w:r w:rsidRPr="00076635">
        <w:rPr>
          <w:vertAlign w:val="superscript"/>
        </w:rPr>
        <w:t>2</w:t>
      </w:r>
      <w:r w:rsidRPr="00076635">
        <w:t xml:space="preserve"> s</w:t>
      </w:r>
      <w:r w:rsidRPr="00076635">
        <w:rPr>
          <w:vertAlign w:val="superscript"/>
        </w:rPr>
        <w:t>-2</w:t>
      </w:r>
      <w:r w:rsidRPr="00076635">
        <w:t xml:space="preserve"> </w:t>
      </w:r>
      <w:r>
        <w:t>mol</w:t>
      </w:r>
      <w:r w:rsidRPr="00585918">
        <w:rPr>
          <w:vertAlign w:val="superscript"/>
        </w:rPr>
        <w:t>-1</w:t>
      </w:r>
      <w:r>
        <w:t xml:space="preserve"> </w:t>
      </w:r>
      <w:r w:rsidRPr="00076635">
        <w:t>K</w:t>
      </w:r>
      <w:r w:rsidRPr="00076635">
        <w:rPr>
          <w:vertAlign w:val="superscript"/>
        </w:rPr>
        <w:t>-1</w:t>
      </w:r>
      <w:r w:rsidR="006631D8">
        <w:t>)</w:t>
      </w:r>
    </w:p>
    <w:p w14:paraId="34E211D7" w14:textId="5A05B0D2" w:rsidR="006631D8" w:rsidRDefault="006631D8" w:rsidP="00585918">
      <w:pPr>
        <w:ind w:left="720"/>
      </w:pPr>
    </w:p>
    <w:p w14:paraId="275D58FC" w14:textId="05FDE068" w:rsidR="006631D8" w:rsidRDefault="006631D8" w:rsidP="006631D8">
      <w:pPr>
        <w:ind w:left="720"/>
      </w:pPr>
      <w:r>
        <w:t>power, radiant flux (</w:t>
      </w:r>
      <w:r w:rsidRPr="006631D8">
        <w:t>kg m</w:t>
      </w:r>
      <w:r w:rsidRPr="006631D8">
        <w:rPr>
          <w:vertAlign w:val="superscript"/>
        </w:rPr>
        <w:t>2</w:t>
      </w:r>
      <w:r w:rsidRPr="006631D8">
        <w:t xml:space="preserve"> s</w:t>
      </w:r>
      <w:r w:rsidRPr="006631D8">
        <w:rPr>
          <w:vertAlign w:val="superscript"/>
        </w:rPr>
        <w:t>-3</w:t>
      </w:r>
      <w:r w:rsidRPr="006631D8">
        <w:t>)</w:t>
      </w:r>
    </w:p>
    <w:p w14:paraId="7796BA90" w14:textId="6C801CC6" w:rsidR="006631D8" w:rsidRDefault="006631D8" w:rsidP="006631D8">
      <w:pPr>
        <w:ind w:left="720"/>
      </w:pPr>
    </w:p>
    <w:p w14:paraId="09DCB884" w14:textId="15012838" w:rsidR="006631D8" w:rsidRDefault="006631D8" w:rsidP="006631D8">
      <w:pPr>
        <w:ind w:left="720"/>
      </w:pPr>
      <w:r>
        <w:t>heat flux density, irradiance (</w:t>
      </w:r>
      <w:r w:rsidRPr="006631D8">
        <w:t>kg s</w:t>
      </w:r>
      <w:r w:rsidRPr="006631D8">
        <w:rPr>
          <w:vertAlign w:val="superscript"/>
        </w:rPr>
        <w:t>-3</w:t>
      </w:r>
      <w:r w:rsidRPr="006631D8">
        <w:t>)</w:t>
      </w:r>
    </w:p>
    <w:p w14:paraId="6870A36A" w14:textId="443A06C1" w:rsidR="006631D8" w:rsidRDefault="006631D8" w:rsidP="006631D8">
      <w:pPr>
        <w:ind w:left="720"/>
      </w:pPr>
    </w:p>
    <w:p w14:paraId="0121ED83" w14:textId="441F9518" w:rsidR="006631D8" w:rsidRDefault="006631D8" w:rsidP="006631D8">
      <w:pPr>
        <w:ind w:left="720"/>
      </w:pPr>
      <w:r>
        <w:t>electrical conductance, capacitance, permittivity (</w:t>
      </w:r>
      <w:r w:rsidRPr="006631D8">
        <w:t>kg</w:t>
      </w:r>
      <w:r w:rsidRPr="006631D8">
        <w:rPr>
          <w:vertAlign w:val="superscript"/>
        </w:rPr>
        <w:t>-1</w:t>
      </w:r>
      <w:r w:rsidRPr="006631D8">
        <w:t xml:space="preserve"> m</w:t>
      </w:r>
      <w:r w:rsidRPr="006631D8">
        <w:rPr>
          <w:vertAlign w:val="superscript"/>
        </w:rPr>
        <w:t>-2</w:t>
      </w:r>
      <w:r w:rsidRPr="006631D8">
        <w:t xml:space="preserve"> s</w:t>
      </w:r>
      <w:r w:rsidRPr="006631D8">
        <w:rPr>
          <w:vertAlign w:val="superscript"/>
        </w:rPr>
        <w:t>3</w:t>
      </w:r>
      <w:r w:rsidRPr="006631D8">
        <w:t xml:space="preserve"> A</w:t>
      </w:r>
      <w:r w:rsidRPr="006631D8">
        <w:rPr>
          <w:vertAlign w:val="superscript"/>
        </w:rPr>
        <w:t>2</w:t>
      </w:r>
      <w:r w:rsidRPr="006631D8">
        <w:t>)</w:t>
      </w:r>
    </w:p>
    <w:p w14:paraId="0AA79416" w14:textId="59E8C5B7" w:rsidR="006631D8" w:rsidRDefault="006631D8" w:rsidP="006631D8">
      <w:pPr>
        <w:ind w:left="720"/>
      </w:pPr>
    </w:p>
    <w:p w14:paraId="51F5E063" w14:textId="33107B80" w:rsidR="006631D8" w:rsidRDefault="00CF079D" w:rsidP="00CF079D">
      <w:pPr>
        <w:ind w:left="720"/>
      </w:pPr>
      <w:r>
        <w:t xml:space="preserve">absorbed dose, </w:t>
      </w:r>
      <w:proofErr w:type="spellStart"/>
      <w:proofErr w:type="gramStart"/>
      <w:r>
        <w:t>kerma</w:t>
      </w:r>
      <w:proofErr w:type="spellEnd"/>
      <w:r>
        <w:t xml:space="preserve"> ,</w:t>
      </w:r>
      <w:proofErr w:type="gramEnd"/>
      <w:r>
        <w:t xml:space="preserve"> specific energy, dose equivalent (</w:t>
      </w:r>
      <w:r w:rsidRPr="00CF079D">
        <w:t>m</w:t>
      </w:r>
      <w:r w:rsidRPr="00CF079D">
        <w:rPr>
          <w:vertAlign w:val="superscript"/>
        </w:rPr>
        <w:t>2</w:t>
      </w:r>
      <w:r w:rsidRPr="00CF079D">
        <w:t xml:space="preserve"> s</w:t>
      </w:r>
      <w:r w:rsidRPr="00CF079D">
        <w:rPr>
          <w:vertAlign w:val="superscript"/>
        </w:rPr>
        <w:t>-2</w:t>
      </w:r>
      <w:r w:rsidRPr="00CF079D">
        <w:t>)</w:t>
      </w:r>
    </w:p>
    <w:p w14:paraId="1A5EADD3" w14:textId="3D3F46B4" w:rsidR="00CF079D" w:rsidRDefault="00CF079D" w:rsidP="00CF079D">
      <w:pPr>
        <w:ind w:left="720"/>
      </w:pPr>
    </w:p>
    <w:p w14:paraId="3F883312" w14:textId="21626452" w:rsidR="00CF079D" w:rsidRDefault="00CF079D" w:rsidP="00CF079D">
      <w:pPr>
        <w:ind w:left="720"/>
      </w:pPr>
      <w:r>
        <w:t>specific entropy, specific heat capacity (</w:t>
      </w:r>
      <w:r w:rsidRPr="00CF079D">
        <w:t>m</w:t>
      </w:r>
      <w:r w:rsidRPr="00CF079D">
        <w:rPr>
          <w:vertAlign w:val="superscript"/>
        </w:rPr>
        <w:t>2</w:t>
      </w:r>
      <w:r w:rsidRPr="00CF079D">
        <w:t xml:space="preserve"> s</w:t>
      </w:r>
      <w:r w:rsidRPr="00CF079D">
        <w:rPr>
          <w:vertAlign w:val="superscript"/>
        </w:rPr>
        <w:t>-2</w:t>
      </w:r>
      <w:r w:rsidRPr="00CF079D">
        <w:t xml:space="preserve"> K</w:t>
      </w:r>
      <w:r w:rsidRPr="00CF079D">
        <w:rPr>
          <w:vertAlign w:val="superscript"/>
        </w:rPr>
        <w:t>-1</w:t>
      </w:r>
      <w:r w:rsidRPr="00CF079D">
        <w:t>)</w:t>
      </w:r>
    </w:p>
    <w:p w14:paraId="56AF59A8" w14:textId="200F60E5" w:rsidR="00CF079D" w:rsidRDefault="00CF079D" w:rsidP="00CF079D">
      <w:pPr>
        <w:ind w:left="720"/>
      </w:pPr>
    </w:p>
    <w:p w14:paraId="0904E306" w14:textId="1E79B3DB" w:rsidR="00CF079D" w:rsidRDefault="00CF079D" w:rsidP="00CF079D">
      <w:pPr>
        <w:ind w:left="720"/>
      </w:pPr>
      <w:r>
        <w:t>angular frequency, angular velocity (</w:t>
      </w:r>
      <w:r w:rsidRPr="00CF079D">
        <w:t>rad s</w:t>
      </w:r>
      <w:r w:rsidRPr="00CF079D">
        <w:rPr>
          <w:vertAlign w:val="superscript"/>
        </w:rPr>
        <w:t>-1</w:t>
      </w:r>
      <w:r w:rsidRPr="00CF079D">
        <w:t>)</w:t>
      </w:r>
    </w:p>
    <w:p w14:paraId="3DF58E82" w14:textId="1068E2AD" w:rsidR="00CF079D" w:rsidRDefault="00CF079D" w:rsidP="00CF079D">
      <w:pPr>
        <w:ind w:left="720"/>
      </w:pPr>
    </w:p>
    <w:p w14:paraId="22CCCB56" w14:textId="260CE0D1" w:rsidR="00CF079D" w:rsidRDefault="00CF079D" w:rsidP="00CF079D">
      <w:pPr>
        <w:ind w:left="720"/>
      </w:pPr>
      <w:r>
        <w:t>activity referred to a radionuclide, frequency (</w:t>
      </w:r>
      <w:r w:rsidRPr="00CF079D">
        <w:t>s</w:t>
      </w:r>
      <w:r w:rsidRPr="00CF079D">
        <w:rPr>
          <w:vertAlign w:val="superscript"/>
        </w:rPr>
        <w:t>-1</w:t>
      </w:r>
      <w:r w:rsidRPr="00CF079D">
        <w:t>)</w:t>
      </w:r>
    </w:p>
    <w:p w14:paraId="57196D45" w14:textId="0581C484" w:rsidR="00CF079D" w:rsidRDefault="00CF079D" w:rsidP="00CF079D">
      <w:pPr>
        <w:ind w:left="720"/>
      </w:pPr>
    </w:p>
    <w:p w14:paraId="5896B36A" w14:textId="15B98049" w:rsidR="007A255C" w:rsidRDefault="008405AC" w:rsidP="008A2F13">
      <w:r>
        <w:t>The resulting set of proposed standard units is:</w:t>
      </w:r>
    </w:p>
    <w:p w14:paraId="087B1E28" w14:textId="76408965" w:rsidR="008405AC" w:rsidRDefault="008405AC" w:rsidP="008A2F13"/>
    <w:tbl>
      <w:tblPr>
        <w:tblStyle w:val="TableGrid"/>
        <w:tblW w:w="0" w:type="auto"/>
        <w:tblInd w:w="1327" w:type="dxa"/>
        <w:tblLook w:val="04A0" w:firstRow="1" w:lastRow="0" w:firstColumn="1" w:lastColumn="0" w:noHBand="0" w:noVBand="1"/>
      </w:tblPr>
      <w:tblGrid>
        <w:gridCol w:w="6196"/>
      </w:tblGrid>
      <w:tr w:rsidR="008405AC" w:rsidRPr="008405AC" w14:paraId="0B3E228E" w14:textId="77777777" w:rsidTr="008405AC">
        <w:trPr>
          <w:trHeight w:val="380"/>
        </w:trPr>
        <w:tc>
          <w:tcPr>
            <w:tcW w:w="6196" w:type="dxa"/>
            <w:noWrap/>
            <w:hideMark/>
          </w:tcPr>
          <w:p w14:paraId="13FDD0C0" w14:textId="77777777" w:rsidR="008405AC" w:rsidRPr="008405AC" w:rsidRDefault="008405AC" w:rsidP="008405AC">
            <w:pPr>
              <w:ind w:left="720"/>
            </w:pPr>
            <w:bookmarkStart w:id="6" w:name="RANGE!C2:C79"/>
            <w:r w:rsidRPr="008405AC">
              <w:t>ampere</w:t>
            </w:r>
            <w:bookmarkEnd w:id="6"/>
          </w:p>
        </w:tc>
      </w:tr>
      <w:tr w:rsidR="008405AC" w:rsidRPr="008405AC" w14:paraId="13976C76" w14:textId="77777777" w:rsidTr="008405AC">
        <w:trPr>
          <w:trHeight w:val="380"/>
        </w:trPr>
        <w:tc>
          <w:tcPr>
            <w:tcW w:w="6196" w:type="dxa"/>
            <w:noWrap/>
            <w:hideMark/>
          </w:tcPr>
          <w:p w14:paraId="69C05C07" w14:textId="77777777" w:rsidR="008405AC" w:rsidRPr="008405AC" w:rsidRDefault="008405AC" w:rsidP="008405AC">
            <w:pPr>
              <w:ind w:left="720"/>
            </w:pPr>
            <w:r w:rsidRPr="008405AC">
              <w:t>ampere per meter</w:t>
            </w:r>
          </w:p>
        </w:tc>
      </w:tr>
      <w:tr w:rsidR="008405AC" w:rsidRPr="008405AC" w14:paraId="384C87C5" w14:textId="77777777" w:rsidTr="008405AC">
        <w:trPr>
          <w:trHeight w:val="380"/>
        </w:trPr>
        <w:tc>
          <w:tcPr>
            <w:tcW w:w="6196" w:type="dxa"/>
            <w:noWrap/>
            <w:hideMark/>
          </w:tcPr>
          <w:p w14:paraId="33289E45" w14:textId="77777777" w:rsidR="008405AC" w:rsidRPr="008405AC" w:rsidRDefault="008405AC" w:rsidP="008405AC">
            <w:pPr>
              <w:ind w:left="720"/>
            </w:pPr>
            <w:r w:rsidRPr="008405AC">
              <w:t>ampere per square meter</w:t>
            </w:r>
          </w:p>
        </w:tc>
      </w:tr>
      <w:tr w:rsidR="008405AC" w:rsidRPr="008405AC" w14:paraId="30E8C31E" w14:textId="77777777" w:rsidTr="008405AC">
        <w:trPr>
          <w:trHeight w:val="380"/>
        </w:trPr>
        <w:tc>
          <w:tcPr>
            <w:tcW w:w="6196" w:type="dxa"/>
            <w:noWrap/>
            <w:hideMark/>
          </w:tcPr>
          <w:p w14:paraId="6B016E13" w14:textId="77777777" w:rsidR="008405AC" w:rsidRPr="008405AC" w:rsidRDefault="008405AC" w:rsidP="008405AC">
            <w:pPr>
              <w:ind w:left="720"/>
            </w:pPr>
            <w:r w:rsidRPr="008405AC">
              <w:t>becquerel</w:t>
            </w:r>
          </w:p>
        </w:tc>
      </w:tr>
      <w:tr w:rsidR="008405AC" w:rsidRPr="008405AC" w14:paraId="3DABC970" w14:textId="77777777" w:rsidTr="008405AC">
        <w:trPr>
          <w:trHeight w:val="380"/>
        </w:trPr>
        <w:tc>
          <w:tcPr>
            <w:tcW w:w="6196" w:type="dxa"/>
            <w:noWrap/>
            <w:hideMark/>
          </w:tcPr>
          <w:p w14:paraId="6C92253F" w14:textId="77777777" w:rsidR="008405AC" w:rsidRPr="008405AC" w:rsidRDefault="008405AC" w:rsidP="008405AC">
            <w:pPr>
              <w:ind w:left="720"/>
            </w:pPr>
            <w:r w:rsidRPr="008405AC">
              <w:t>bit</w:t>
            </w:r>
          </w:p>
        </w:tc>
      </w:tr>
      <w:tr w:rsidR="008405AC" w:rsidRPr="008405AC" w14:paraId="1164B5A6" w14:textId="77777777" w:rsidTr="008405AC">
        <w:trPr>
          <w:trHeight w:val="380"/>
        </w:trPr>
        <w:tc>
          <w:tcPr>
            <w:tcW w:w="6196" w:type="dxa"/>
            <w:noWrap/>
            <w:hideMark/>
          </w:tcPr>
          <w:p w14:paraId="025BA8BB" w14:textId="77777777" w:rsidR="008405AC" w:rsidRPr="008405AC" w:rsidRDefault="008405AC" w:rsidP="008405AC">
            <w:pPr>
              <w:ind w:left="720"/>
            </w:pPr>
            <w:r w:rsidRPr="008405AC">
              <w:t>bit per second</w:t>
            </w:r>
          </w:p>
        </w:tc>
      </w:tr>
      <w:tr w:rsidR="008405AC" w:rsidRPr="008405AC" w14:paraId="19E3137D" w14:textId="77777777" w:rsidTr="008405AC">
        <w:trPr>
          <w:trHeight w:val="380"/>
        </w:trPr>
        <w:tc>
          <w:tcPr>
            <w:tcW w:w="6196" w:type="dxa"/>
            <w:noWrap/>
            <w:hideMark/>
          </w:tcPr>
          <w:p w14:paraId="5F995F1F" w14:textId="77777777" w:rsidR="008405AC" w:rsidRPr="008405AC" w:rsidRDefault="008405AC" w:rsidP="008405AC">
            <w:pPr>
              <w:ind w:left="720"/>
            </w:pPr>
            <w:r w:rsidRPr="008405AC">
              <w:t>candela</w:t>
            </w:r>
          </w:p>
        </w:tc>
      </w:tr>
      <w:tr w:rsidR="008405AC" w:rsidRPr="008405AC" w14:paraId="44D45BEC" w14:textId="77777777" w:rsidTr="008405AC">
        <w:trPr>
          <w:trHeight w:val="380"/>
        </w:trPr>
        <w:tc>
          <w:tcPr>
            <w:tcW w:w="6196" w:type="dxa"/>
            <w:noWrap/>
            <w:hideMark/>
          </w:tcPr>
          <w:p w14:paraId="376F531D" w14:textId="77777777" w:rsidR="008405AC" w:rsidRPr="008405AC" w:rsidRDefault="008405AC" w:rsidP="008405AC">
            <w:pPr>
              <w:ind w:left="720"/>
            </w:pPr>
            <w:r w:rsidRPr="008405AC">
              <w:t>candela per square meter</w:t>
            </w:r>
          </w:p>
        </w:tc>
      </w:tr>
      <w:tr w:rsidR="008405AC" w:rsidRPr="008405AC" w14:paraId="5A84A988" w14:textId="77777777" w:rsidTr="008405AC">
        <w:trPr>
          <w:trHeight w:val="380"/>
        </w:trPr>
        <w:tc>
          <w:tcPr>
            <w:tcW w:w="6196" w:type="dxa"/>
            <w:noWrap/>
            <w:hideMark/>
          </w:tcPr>
          <w:p w14:paraId="21D74527" w14:textId="77777777" w:rsidR="008405AC" w:rsidRPr="008405AC" w:rsidRDefault="008405AC" w:rsidP="008405AC">
            <w:pPr>
              <w:ind w:left="720"/>
            </w:pPr>
            <w:r w:rsidRPr="008405AC">
              <w:t>coulomb</w:t>
            </w:r>
          </w:p>
        </w:tc>
      </w:tr>
      <w:tr w:rsidR="008405AC" w:rsidRPr="008405AC" w14:paraId="7F03809D" w14:textId="77777777" w:rsidTr="008405AC">
        <w:trPr>
          <w:trHeight w:val="380"/>
        </w:trPr>
        <w:tc>
          <w:tcPr>
            <w:tcW w:w="6196" w:type="dxa"/>
            <w:noWrap/>
            <w:hideMark/>
          </w:tcPr>
          <w:p w14:paraId="2E68A15F" w14:textId="77777777" w:rsidR="008405AC" w:rsidRPr="008405AC" w:rsidRDefault="008405AC" w:rsidP="008405AC">
            <w:pPr>
              <w:ind w:left="720"/>
            </w:pPr>
            <w:r w:rsidRPr="008405AC">
              <w:t>coulomb per cubic meter</w:t>
            </w:r>
          </w:p>
        </w:tc>
      </w:tr>
      <w:tr w:rsidR="008405AC" w:rsidRPr="008405AC" w14:paraId="34CF47E0" w14:textId="77777777" w:rsidTr="008405AC">
        <w:trPr>
          <w:trHeight w:val="380"/>
        </w:trPr>
        <w:tc>
          <w:tcPr>
            <w:tcW w:w="6196" w:type="dxa"/>
            <w:noWrap/>
            <w:hideMark/>
          </w:tcPr>
          <w:p w14:paraId="446A15B3" w14:textId="77777777" w:rsidR="008405AC" w:rsidRPr="008405AC" w:rsidRDefault="008405AC" w:rsidP="008405AC">
            <w:pPr>
              <w:ind w:left="720"/>
            </w:pPr>
            <w:r w:rsidRPr="008405AC">
              <w:t>coulomb per kilogram</w:t>
            </w:r>
          </w:p>
        </w:tc>
      </w:tr>
      <w:tr w:rsidR="008405AC" w:rsidRPr="008405AC" w14:paraId="51B67EED" w14:textId="77777777" w:rsidTr="008405AC">
        <w:trPr>
          <w:trHeight w:val="380"/>
        </w:trPr>
        <w:tc>
          <w:tcPr>
            <w:tcW w:w="6196" w:type="dxa"/>
            <w:noWrap/>
            <w:hideMark/>
          </w:tcPr>
          <w:p w14:paraId="0F0519AB" w14:textId="77777777" w:rsidR="008405AC" w:rsidRPr="008405AC" w:rsidRDefault="008405AC" w:rsidP="008405AC">
            <w:pPr>
              <w:ind w:left="720"/>
            </w:pPr>
            <w:r w:rsidRPr="008405AC">
              <w:t>coulomb per square meter of electric displacement</w:t>
            </w:r>
          </w:p>
        </w:tc>
      </w:tr>
      <w:tr w:rsidR="008405AC" w:rsidRPr="008405AC" w14:paraId="0E63E56C" w14:textId="77777777" w:rsidTr="008405AC">
        <w:trPr>
          <w:trHeight w:val="380"/>
        </w:trPr>
        <w:tc>
          <w:tcPr>
            <w:tcW w:w="6196" w:type="dxa"/>
            <w:noWrap/>
            <w:hideMark/>
          </w:tcPr>
          <w:p w14:paraId="613020B7" w14:textId="77777777" w:rsidR="008405AC" w:rsidRPr="008405AC" w:rsidRDefault="008405AC" w:rsidP="008405AC">
            <w:pPr>
              <w:ind w:left="720"/>
            </w:pPr>
            <w:r w:rsidRPr="008405AC">
              <w:t>coulomb per square meter of electric flux density</w:t>
            </w:r>
          </w:p>
        </w:tc>
      </w:tr>
      <w:tr w:rsidR="008405AC" w:rsidRPr="008405AC" w14:paraId="292FF692" w14:textId="77777777" w:rsidTr="008405AC">
        <w:trPr>
          <w:trHeight w:val="380"/>
        </w:trPr>
        <w:tc>
          <w:tcPr>
            <w:tcW w:w="6196" w:type="dxa"/>
            <w:noWrap/>
            <w:hideMark/>
          </w:tcPr>
          <w:p w14:paraId="29652B04" w14:textId="77777777" w:rsidR="008405AC" w:rsidRPr="008405AC" w:rsidRDefault="008405AC" w:rsidP="008405AC">
            <w:pPr>
              <w:ind w:left="720"/>
            </w:pPr>
            <w:r w:rsidRPr="008405AC">
              <w:t>coulomb per square meter of surface charge density</w:t>
            </w:r>
          </w:p>
        </w:tc>
      </w:tr>
      <w:tr w:rsidR="008405AC" w:rsidRPr="008405AC" w14:paraId="65443D37" w14:textId="77777777" w:rsidTr="008405AC">
        <w:trPr>
          <w:trHeight w:val="380"/>
        </w:trPr>
        <w:tc>
          <w:tcPr>
            <w:tcW w:w="6196" w:type="dxa"/>
            <w:noWrap/>
            <w:hideMark/>
          </w:tcPr>
          <w:p w14:paraId="301308C5" w14:textId="77777777" w:rsidR="008405AC" w:rsidRPr="008405AC" w:rsidRDefault="008405AC" w:rsidP="008405AC">
            <w:pPr>
              <w:ind w:left="720"/>
            </w:pPr>
            <w:r w:rsidRPr="008405AC">
              <w:t>cubic meter</w:t>
            </w:r>
          </w:p>
        </w:tc>
      </w:tr>
      <w:tr w:rsidR="008405AC" w:rsidRPr="008405AC" w14:paraId="7A582466" w14:textId="77777777" w:rsidTr="008405AC">
        <w:trPr>
          <w:trHeight w:val="380"/>
        </w:trPr>
        <w:tc>
          <w:tcPr>
            <w:tcW w:w="6196" w:type="dxa"/>
            <w:noWrap/>
            <w:hideMark/>
          </w:tcPr>
          <w:p w14:paraId="05ED440C" w14:textId="77777777" w:rsidR="008405AC" w:rsidRPr="008405AC" w:rsidRDefault="008405AC" w:rsidP="008405AC">
            <w:pPr>
              <w:ind w:left="720"/>
            </w:pPr>
            <w:r w:rsidRPr="008405AC">
              <w:t>farad</w:t>
            </w:r>
          </w:p>
        </w:tc>
      </w:tr>
      <w:tr w:rsidR="008405AC" w:rsidRPr="008405AC" w14:paraId="215B086C" w14:textId="77777777" w:rsidTr="008405AC">
        <w:trPr>
          <w:trHeight w:val="380"/>
        </w:trPr>
        <w:tc>
          <w:tcPr>
            <w:tcW w:w="6196" w:type="dxa"/>
            <w:noWrap/>
            <w:hideMark/>
          </w:tcPr>
          <w:p w14:paraId="2279450F" w14:textId="77777777" w:rsidR="008405AC" w:rsidRPr="008405AC" w:rsidRDefault="008405AC" w:rsidP="008405AC">
            <w:pPr>
              <w:ind w:left="720"/>
            </w:pPr>
            <w:r w:rsidRPr="008405AC">
              <w:t>farad per meter</w:t>
            </w:r>
          </w:p>
        </w:tc>
      </w:tr>
      <w:tr w:rsidR="008405AC" w:rsidRPr="008405AC" w14:paraId="1F846C66" w14:textId="77777777" w:rsidTr="008405AC">
        <w:trPr>
          <w:trHeight w:val="380"/>
        </w:trPr>
        <w:tc>
          <w:tcPr>
            <w:tcW w:w="6196" w:type="dxa"/>
            <w:noWrap/>
            <w:hideMark/>
          </w:tcPr>
          <w:p w14:paraId="3C5EE503" w14:textId="77777777" w:rsidR="008405AC" w:rsidRPr="008405AC" w:rsidRDefault="008405AC" w:rsidP="008405AC">
            <w:pPr>
              <w:ind w:left="720"/>
            </w:pPr>
            <w:r w:rsidRPr="008405AC">
              <w:t>gray of absorbed dose</w:t>
            </w:r>
          </w:p>
        </w:tc>
      </w:tr>
      <w:tr w:rsidR="008405AC" w:rsidRPr="008405AC" w14:paraId="34095854" w14:textId="77777777" w:rsidTr="008405AC">
        <w:trPr>
          <w:trHeight w:val="380"/>
        </w:trPr>
        <w:tc>
          <w:tcPr>
            <w:tcW w:w="6196" w:type="dxa"/>
            <w:noWrap/>
            <w:hideMark/>
          </w:tcPr>
          <w:p w14:paraId="363F4365" w14:textId="77777777" w:rsidR="008405AC" w:rsidRPr="008405AC" w:rsidRDefault="008405AC" w:rsidP="008405AC">
            <w:pPr>
              <w:ind w:left="720"/>
            </w:pPr>
            <w:r w:rsidRPr="008405AC">
              <w:t>gray of kinetic energy</w:t>
            </w:r>
          </w:p>
        </w:tc>
      </w:tr>
      <w:tr w:rsidR="008405AC" w:rsidRPr="008405AC" w14:paraId="1FE503A9" w14:textId="77777777" w:rsidTr="008405AC">
        <w:trPr>
          <w:trHeight w:val="380"/>
        </w:trPr>
        <w:tc>
          <w:tcPr>
            <w:tcW w:w="6196" w:type="dxa"/>
            <w:noWrap/>
            <w:hideMark/>
          </w:tcPr>
          <w:p w14:paraId="658E51CD" w14:textId="77777777" w:rsidR="008405AC" w:rsidRPr="008405AC" w:rsidRDefault="008405AC" w:rsidP="008405AC">
            <w:pPr>
              <w:ind w:left="720"/>
            </w:pPr>
            <w:r w:rsidRPr="008405AC">
              <w:t>gray per second</w:t>
            </w:r>
          </w:p>
        </w:tc>
      </w:tr>
      <w:tr w:rsidR="008405AC" w:rsidRPr="008405AC" w14:paraId="79C31057" w14:textId="77777777" w:rsidTr="008405AC">
        <w:trPr>
          <w:trHeight w:val="380"/>
        </w:trPr>
        <w:tc>
          <w:tcPr>
            <w:tcW w:w="6196" w:type="dxa"/>
            <w:noWrap/>
            <w:hideMark/>
          </w:tcPr>
          <w:p w14:paraId="2FCA2A3C" w14:textId="77777777" w:rsidR="008405AC" w:rsidRPr="008405AC" w:rsidRDefault="008405AC" w:rsidP="008405AC">
            <w:pPr>
              <w:ind w:left="720"/>
            </w:pPr>
            <w:r w:rsidRPr="008405AC">
              <w:t>henry</w:t>
            </w:r>
          </w:p>
        </w:tc>
      </w:tr>
      <w:tr w:rsidR="008405AC" w:rsidRPr="008405AC" w14:paraId="5F72BA8F" w14:textId="77777777" w:rsidTr="008405AC">
        <w:trPr>
          <w:trHeight w:val="380"/>
        </w:trPr>
        <w:tc>
          <w:tcPr>
            <w:tcW w:w="6196" w:type="dxa"/>
            <w:noWrap/>
            <w:hideMark/>
          </w:tcPr>
          <w:p w14:paraId="4B56E3EC" w14:textId="77777777" w:rsidR="008405AC" w:rsidRPr="008405AC" w:rsidRDefault="008405AC" w:rsidP="008405AC">
            <w:pPr>
              <w:ind w:left="720"/>
            </w:pPr>
            <w:r w:rsidRPr="008405AC">
              <w:t>henry per meter</w:t>
            </w:r>
          </w:p>
        </w:tc>
      </w:tr>
      <w:tr w:rsidR="008405AC" w:rsidRPr="008405AC" w14:paraId="7C7153CB" w14:textId="77777777" w:rsidTr="008405AC">
        <w:trPr>
          <w:trHeight w:val="380"/>
        </w:trPr>
        <w:tc>
          <w:tcPr>
            <w:tcW w:w="6196" w:type="dxa"/>
            <w:noWrap/>
            <w:hideMark/>
          </w:tcPr>
          <w:p w14:paraId="4F6BFA62" w14:textId="77777777" w:rsidR="008405AC" w:rsidRPr="008405AC" w:rsidRDefault="008405AC" w:rsidP="008405AC">
            <w:pPr>
              <w:ind w:left="720"/>
            </w:pPr>
            <w:r w:rsidRPr="008405AC">
              <w:t>hertz frequency</w:t>
            </w:r>
          </w:p>
        </w:tc>
      </w:tr>
      <w:tr w:rsidR="008405AC" w:rsidRPr="008405AC" w14:paraId="399894C0" w14:textId="77777777" w:rsidTr="008405AC">
        <w:trPr>
          <w:trHeight w:val="380"/>
        </w:trPr>
        <w:tc>
          <w:tcPr>
            <w:tcW w:w="6196" w:type="dxa"/>
            <w:noWrap/>
            <w:hideMark/>
          </w:tcPr>
          <w:p w14:paraId="22A89CEA" w14:textId="77777777" w:rsidR="008405AC" w:rsidRPr="008405AC" w:rsidRDefault="008405AC" w:rsidP="008405AC">
            <w:pPr>
              <w:ind w:left="720"/>
            </w:pPr>
            <w:r w:rsidRPr="008405AC">
              <w:t>joule of energy</w:t>
            </w:r>
          </w:p>
        </w:tc>
      </w:tr>
      <w:tr w:rsidR="008405AC" w:rsidRPr="008405AC" w14:paraId="6F349D50" w14:textId="77777777" w:rsidTr="008405AC">
        <w:trPr>
          <w:trHeight w:val="380"/>
        </w:trPr>
        <w:tc>
          <w:tcPr>
            <w:tcW w:w="6196" w:type="dxa"/>
            <w:noWrap/>
            <w:hideMark/>
          </w:tcPr>
          <w:p w14:paraId="2D8F5820" w14:textId="77777777" w:rsidR="008405AC" w:rsidRPr="008405AC" w:rsidRDefault="008405AC" w:rsidP="008405AC">
            <w:pPr>
              <w:ind w:left="720"/>
            </w:pPr>
            <w:r w:rsidRPr="008405AC">
              <w:t>joule of heat</w:t>
            </w:r>
          </w:p>
        </w:tc>
      </w:tr>
      <w:tr w:rsidR="008405AC" w:rsidRPr="008405AC" w14:paraId="70A13686" w14:textId="77777777" w:rsidTr="008405AC">
        <w:trPr>
          <w:trHeight w:val="380"/>
        </w:trPr>
        <w:tc>
          <w:tcPr>
            <w:tcW w:w="6196" w:type="dxa"/>
            <w:noWrap/>
            <w:hideMark/>
          </w:tcPr>
          <w:p w14:paraId="5083F029" w14:textId="77777777" w:rsidR="008405AC" w:rsidRPr="008405AC" w:rsidRDefault="008405AC" w:rsidP="008405AC">
            <w:pPr>
              <w:ind w:left="720"/>
            </w:pPr>
            <w:r w:rsidRPr="008405AC">
              <w:t>joule of work</w:t>
            </w:r>
          </w:p>
        </w:tc>
      </w:tr>
      <w:tr w:rsidR="008405AC" w:rsidRPr="008405AC" w14:paraId="1AC20F44" w14:textId="77777777" w:rsidTr="008405AC">
        <w:trPr>
          <w:trHeight w:val="380"/>
        </w:trPr>
        <w:tc>
          <w:tcPr>
            <w:tcW w:w="6196" w:type="dxa"/>
            <w:noWrap/>
            <w:hideMark/>
          </w:tcPr>
          <w:p w14:paraId="73B5A684" w14:textId="77777777" w:rsidR="008405AC" w:rsidRPr="008405AC" w:rsidRDefault="008405AC" w:rsidP="008405AC">
            <w:pPr>
              <w:ind w:left="720"/>
            </w:pPr>
            <w:r w:rsidRPr="008405AC">
              <w:t>joule per cubic meter</w:t>
            </w:r>
          </w:p>
        </w:tc>
      </w:tr>
      <w:tr w:rsidR="008405AC" w:rsidRPr="008405AC" w14:paraId="51204C36" w14:textId="77777777" w:rsidTr="008405AC">
        <w:trPr>
          <w:trHeight w:val="380"/>
        </w:trPr>
        <w:tc>
          <w:tcPr>
            <w:tcW w:w="6196" w:type="dxa"/>
            <w:noWrap/>
            <w:hideMark/>
          </w:tcPr>
          <w:p w14:paraId="21D05A2E" w14:textId="77777777" w:rsidR="008405AC" w:rsidRPr="008405AC" w:rsidRDefault="008405AC" w:rsidP="008405AC">
            <w:pPr>
              <w:ind w:left="720"/>
            </w:pPr>
            <w:r w:rsidRPr="008405AC">
              <w:t>joule per kelvin of entropy</w:t>
            </w:r>
          </w:p>
        </w:tc>
      </w:tr>
      <w:tr w:rsidR="008405AC" w:rsidRPr="008405AC" w14:paraId="4A31679C" w14:textId="77777777" w:rsidTr="008405AC">
        <w:trPr>
          <w:trHeight w:val="380"/>
        </w:trPr>
        <w:tc>
          <w:tcPr>
            <w:tcW w:w="6196" w:type="dxa"/>
            <w:noWrap/>
            <w:hideMark/>
          </w:tcPr>
          <w:p w14:paraId="5F18819E" w14:textId="77777777" w:rsidR="008405AC" w:rsidRPr="008405AC" w:rsidRDefault="008405AC" w:rsidP="008405AC">
            <w:pPr>
              <w:ind w:left="720"/>
            </w:pPr>
            <w:r w:rsidRPr="008405AC">
              <w:t>joule per kelvin of heat capacity</w:t>
            </w:r>
          </w:p>
        </w:tc>
      </w:tr>
      <w:tr w:rsidR="008405AC" w:rsidRPr="008405AC" w14:paraId="6A80E6D9" w14:textId="77777777" w:rsidTr="008405AC">
        <w:trPr>
          <w:trHeight w:val="380"/>
        </w:trPr>
        <w:tc>
          <w:tcPr>
            <w:tcW w:w="6196" w:type="dxa"/>
            <w:noWrap/>
            <w:hideMark/>
          </w:tcPr>
          <w:p w14:paraId="6460A403" w14:textId="77777777" w:rsidR="008405AC" w:rsidRPr="008405AC" w:rsidRDefault="008405AC" w:rsidP="008405AC">
            <w:pPr>
              <w:ind w:left="720"/>
            </w:pPr>
            <w:r w:rsidRPr="008405AC">
              <w:t>joule per kilogram kelvin of specific entropy</w:t>
            </w:r>
          </w:p>
        </w:tc>
      </w:tr>
      <w:tr w:rsidR="008405AC" w:rsidRPr="008405AC" w14:paraId="1A618B1B" w14:textId="77777777" w:rsidTr="008405AC">
        <w:trPr>
          <w:trHeight w:val="380"/>
        </w:trPr>
        <w:tc>
          <w:tcPr>
            <w:tcW w:w="6196" w:type="dxa"/>
            <w:noWrap/>
            <w:hideMark/>
          </w:tcPr>
          <w:p w14:paraId="6E24F1EA" w14:textId="77777777" w:rsidR="008405AC" w:rsidRPr="008405AC" w:rsidRDefault="008405AC" w:rsidP="008405AC">
            <w:pPr>
              <w:ind w:left="720"/>
            </w:pPr>
            <w:r w:rsidRPr="008405AC">
              <w:lastRenderedPageBreak/>
              <w:t>joule per kilogram kelvin of specific heat capacity</w:t>
            </w:r>
          </w:p>
        </w:tc>
      </w:tr>
      <w:tr w:rsidR="008405AC" w:rsidRPr="008405AC" w14:paraId="5E6E2927" w14:textId="77777777" w:rsidTr="008405AC">
        <w:trPr>
          <w:trHeight w:val="380"/>
        </w:trPr>
        <w:tc>
          <w:tcPr>
            <w:tcW w:w="6196" w:type="dxa"/>
            <w:noWrap/>
            <w:hideMark/>
          </w:tcPr>
          <w:p w14:paraId="2B225045" w14:textId="77777777" w:rsidR="008405AC" w:rsidRPr="008405AC" w:rsidRDefault="008405AC" w:rsidP="008405AC">
            <w:pPr>
              <w:ind w:left="720"/>
            </w:pPr>
            <w:r w:rsidRPr="008405AC">
              <w:t>joule per kilogram of specific energy</w:t>
            </w:r>
          </w:p>
        </w:tc>
      </w:tr>
      <w:tr w:rsidR="008405AC" w:rsidRPr="008405AC" w14:paraId="4837ABB1" w14:textId="77777777" w:rsidTr="008405AC">
        <w:trPr>
          <w:trHeight w:val="380"/>
        </w:trPr>
        <w:tc>
          <w:tcPr>
            <w:tcW w:w="6196" w:type="dxa"/>
            <w:noWrap/>
            <w:hideMark/>
          </w:tcPr>
          <w:p w14:paraId="432D9EF3" w14:textId="77777777" w:rsidR="008405AC" w:rsidRPr="008405AC" w:rsidRDefault="008405AC" w:rsidP="008405AC">
            <w:pPr>
              <w:ind w:left="720"/>
            </w:pPr>
            <w:r w:rsidRPr="008405AC">
              <w:t>joule per mole</w:t>
            </w:r>
          </w:p>
        </w:tc>
      </w:tr>
      <w:tr w:rsidR="008405AC" w:rsidRPr="008405AC" w14:paraId="3049F422" w14:textId="77777777" w:rsidTr="008405AC">
        <w:trPr>
          <w:trHeight w:val="380"/>
        </w:trPr>
        <w:tc>
          <w:tcPr>
            <w:tcW w:w="6196" w:type="dxa"/>
            <w:noWrap/>
            <w:hideMark/>
          </w:tcPr>
          <w:p w14:paraId="1AC26FDB" w14:textId="77777777" w:rsidR="008405AC" w:rsidRPr="008405AC" w:rsidRDefault="008405AC" w:rsidP="008405AC">
            <w:pPr>
              <w:ind w:left="720"/>
            </w:pPr>
            <w:r w:rsidRPr="008405AC">
              <w:t>joule per mole kelvin of molar entropy</w:t>
            </w:r>
          </w:p>
        </w:tc>
      </w:tr>
      <w:tr w:rsidR="008405AC" w:rsidRPr="008405AC" w14:paraId="2929EDF1" w14:textId="77777777" w:rsidTr="008405AC">
        <w:trPr>
          <w:trHeight w:val="380"/>
        </w:trPr>
        <w:tc>
          <w:tcPr>
            <w:tcW w:w="6196" w:type="dxa"/>
            <w:noWrap/>
            <w:hideMark/>
          </w:tcPr>
          <w:p w14:paraId="20279272" w14:textId="77777777" w:rsidR="008405AC" w:rsidRPr="008405AC" w:rsidRDefault="008405AC" w:rsidP="008405AC">
            <w:pPr>
              <w:ind w:left="720"/>
            </w:pPr>
            <w:r w:rsidRPr="008405AC">
              <w:t>joule per mole kelvin of molar heat capacity</w:t>
            </w:r>
          </w:p>
        </w:tc>
      </w:tr>
      <w:tr w:rsidR="008405AC" w:rsidRPr="008405AC" w14:paraId="55C4C86B" w14:textId="77777777" w:rsidTr="008405AC">
        <w:trPr>
          <w:trHeight w:val="380"/>
        </w:trPr>
        <w:tc>
          <w:tcPr>
            <w:tcW w:w="6196" w:type="dxa"/>
            <w:noWrap/>
            <w:hideMark/>
          </w:tcPr>
          <w:p w14:paraId="4899F7D0" w14:textId="77777777" w:rsidR="008405AC" w:rsidRPr="008405AC" w:rsidRDefault="008405AC" w:rsidP="008405AC">
            <w:pPr>
              <w:ind w:left="720"/>
            </w:pPr>
            <w:r w:rsidRPr="008405AC">
              <w:t>katal</w:t>
            </w:r>
          </w:p>
        </w:tc>
      </w:tr>
      <w:tr w:rsidR="008405AC" w:rsidRPr="008405AC" w14:paraId="16A2EB0C" w14:textId="77777777" w:rsidTr="008405AC">
        <w:trPr>
          <w:trHeight w:val="380"/>
        </w:trPr>
        <w:tc>
          <w:tcPr>
            <w:tcW w:w="6196" w:type="dxa"/>
            <w:noWrap/>
            <w:hideMark/>
          </w:tcPr>
          <w:p w14:paraId="79499340" w14:textId="77777777" w:rsidR="008405AC" w:rsidRPr="008405AC" w:rsidRDefault="008405AC" w:rsidP="008405AC">
            <w:pPr>
              <w:ind w:left="720"/>
            </w:pPr>
            <w:r w:rsidRPr="008405AC">
              <w:t>katal per cubic meter</w:t>
            </w:r>
          </w:p>
        </w:tc>
      </w:tr>
      <w:tr w:rsidR="008405AC" w:rsidRPr="008405AC" w14:paraId="7CF8D844" w14:textId="77777777" w:rsidTr="008405AC">
        <w:trPr>
          <w:trHeight w:val="380"/>
        </w:trPr>
        <w:tc>
          <w:tcPr>
            <w:tcW w:w="6196" w:type="dxa"/>
            <w:noWrap/>
            <w:hideMark/>
          </w:tcPr>
          <w:p w14:paraId="031FFB50" w14:textId="77777777" w:rsidR="008405AC" w:rsidRPr="008405AC" w:rsidRDefault="008405AC" w:rsidP="008405AC">
            <w:pPr>
              <w:ind w:left="720"/>
            </w:pPr>
            <w:r w:rsidRPr="008405AC">
              <w:t>kelvin</w:t>
            </w:r>
          </w:p>
        </w:tc>
      </w:tr>
      <w:tr w:rsidR="008405AC" w:rsidRPr="008405AC" w14:paraId="638CE9D5" w14:textId="77777777" w:rsidTr="008405AC">
        <w:trPr>
          <w:trHeight w:val="380"/>
        </w:trPr>
        <w:tc>
          <w:tcPr>
            <w:tcW w:w="6196" w:type="dxa"/>
            <w:noWrap/>
            <w:hideMark/>
          </w:tcPr>
          <w:p w14:paraId="718DAF59" w14:textId="77777777" w:rsidR="008405AC" w:rsidRPr="008405AC" w:rsidRDefault="008405AC" w:rsidP="008405AC">
            <w:pPr>
              <w:ind w:left="720"/>
            </w:pPr>
            <w:r w:rsidRPr="008405AC">
              <w:t>kilogram</w:t>
            </w:r>
          </w:p>
        </w:tc>
      </w:tr>
      <w:tr w:rsidR="008405AC" w:rsidRPr="008405AC" w14:paraId="2B3595E0" w14:textId="77777777" w:rsidTr="008405AC">
        <w:trPr>
          <w:trHeight w:val="380"/>
        </w:trPr>
        <w:tc>
          <w:tcPr>
            <w:tcW w:w="6196" w:type="dxa"/>
            <w:noWrap/>
            <w:hideMark/>
          </w:tcPr>
          <w:p w14:paraId="2FF37E00" w14:textId="77777777" w:rsidR="008405AC" w:rsidRPr="008405AC" w:rsidRDefault="008405AC" w:rsidP="008405AC">
            <w:pPr>
              <w:ind w:left="720"/>
            </w:pPr>
            <w:r w:rsidRPr="008405AC">
              <w:t>kilogram per cubic meter</w:t>
            </w:r>
          </w:p>
        </w:tc>
      </w:tr>
      <w:tr w:rsidR="008405AC" w:rsidRPr="008405AC" w14:paraId="03C4C43A" w14:textId="77777777" w:rsidTr="008405AC">
        <w:trPr>
          <w:trHeight w:val="380"/>
        </w:trPr>
        <w:tc>
          <w:tcPr>
            <w:tcW w:w="6196" w:type="dxa"/>
            <w:noWrap/>
            <w:hideMark/>
          </w:tcPr>
          <w:p w14:paraId="41C37DFA" w14:textId="77777777" w:rsidR="008405AC" w:rsidRPr="008405AC" w:rsidRDefault="008405AC" w:rsidP="008405AC">
            <w:pPr>
              <w:ind w:left="720"/>
            </w:pPr>
            <w:r w:rsidRPr="008405AC">
              <w:t>kilogram per square meter</w:t>
            </w:r>
          </w:p>
        </w:tc>
      </w:tr>
      <w:tr w:rsidR="008405AC" w:rsidRPr="008405AC" w14:paraId="173B6A27" w14:textId="77777777" w:rsidTr="008405AC">
        <w:trPr>
          <w:trHeight w:val="380"/>
        </w:trPr>
        <w:tc>
          <w:tcPr>
            <w:tcW w:w="6196" w:type="dxa"/>
            <w:noWrap/>
            <w:hideMark/>
          </w:tcPr>
          <w:p w14:paraId="2EA8A7D5" w14:textId="77777777" w:rsidR="008405AC" w:rsidRPr="008405AC" w:rsidRDefault="008405AC" w:rsidP="008405AC">
            <w:pPr>
              <w:ind w:left="720"/>
            </w:pPr>
            <w:r w:rsidRPr="008405AC">
              <w:t>lumen</w:t>
            </w:r>
          </w:p>
        </w:tc>
      </w:tr>
      <w:tr w:rsidR="008405AC" w:rsidRPr="008405AC" w14:paraId="62D97FB2" w14:textId="77777777" w:rsidTr="008405AC">
        <w:trPr>
          <w:trHeight w:val="380"/>
        </w:trPr>
        <w:tc>
          <w:tcPr>
            <w:tcW w:w="6196" w:type="dxa"/>
            <w:noWrap/>
            <w:hideMark/>
          </w:tcPr>
          <w:p w14:paraId="5D64107D" w14:textId="77777777" w:rsidR="008405AC" w:rsidRPr="008405AC" w:rsidRDefault="008405AC" w:rsidP="008405AC">
            <w:pPr>
              <w:ind w:left="720"/>
            </w:pPr>
            <w:r w:rsidRPr="008405AC">
              <w:t>lux</w:t>
            </w:r>
          </w:p>
        </w:tc>
      </w:tr>
      <w:tr w:rsidR="008405AC" w:rsidRPr="008405AC" w14:paraId="4C1D4F87" w14:textId="77777777" w:rsidTr="008405AC">
        <w:trPr>
          <w:trHeight w:val="380"/>
        </w:trPr>
        <w:tc>
          <w:tcPr>
            <w:tcW w:w="6196" w:type="dxa"/>
            <w:noWrap/>
            <w:hideMark/>
          </w:tcPr>
          <w:p w14:paraId="4D04CC45" w14:textId="77777777" w:rsidR="008405AC" w:rsidRPr="008405AC" w:rsidRDefault="008405AC" w:rsidP="008405AC">
            <w:pPr>
              <w:ind w:left="720"/>
            </w:pPr>
            <w:r w:rsidRPr="008405AC">
              <w:t>meter</w:t>
            </w:r>
          </w:p>
        </w:tc>
      </w:tr>
      <w:tr w:rsidR="008405AC" w:rsidRPr="008405AC" w14:paraId="3755B134" w14:textId="77777777" w:rsidTr="008405AC">
        <w:trPr>
          <w:trHeight w:val="380"/>
        </w:trPr>
        <w:tc>
          <w:tcPr>
            <w:tcW w:w="6196" w:type="dxa"/>
            <w:noWrap/>
            <w:hideMark/>
          </w:tcPr>
          <w:p w14:paraId="1B80CD6E" w14:textId="77777777" w:rsidR="008405AC" w:rsidRPr="008405AC" w:rsidRDefault="008405AC" w:rsidP="008405AC">
            <w:pPr>
              <w:ind w:left="720"/>
            </w:pPr>
            <w:r w:rsidRPr="008405AC">
              <w:t>meter per second</w:t>
            </w:r>
          </w:p>
        </w:tc>
      </w:tr>
      <w:tr w:rsidR="008405AC" w:rsidRPr="008405AC" w14:paraId="472EE205" w14:textId="77777777" w:rsidTr="008405AC">
        <w:trPr>
          <w:trHeight w:val="380"/>
        </w:trPr>
        <w:tc>
          <w:tcPr>
            <w:tcW w:w="6196" w:type="dxa"/>
            <w:noWrap/>
            <w:hideMark/>
          </w:tcPr>
          <w:p w14:paraId="6D7BF33A" w14:textId="77777777" w:rsidR="008405AC" w:rsidRPr="008405AC" w:rsidRDefault="008405AC" w:rsidP="008405AC">
            <w:pPr>
              <w:ind w:left="720"/>
            </w:pPr>
            <w:r w:rsidRPr="008405AC">
              <w:t>meter per square second</w:t>
            </w:r>
          </w:p>
        </w:tc>
      </w:tr>
      <w:tr w:rsidR="008405AC" w:rsidRPr="008405AC" w14:paraId="1190100D" w14:textId="77777777" w:rsidTr="008405AC">
        <w:trPr>
          <w:trHeight w:val="380"/>
        </w:trPr>
        <w:tc>
          <w:tcPr>
            <w:tcW w:w="6196" w:type="dxa"/>
            <w:noWrap/>
            <w:hideMark/>
          </w:tcPr>
          <w:p w14:paraId="6CA1ADA9" w14:textId="77777777" w:rsidR="008405AC" w:rsidRPr="008405AC" w:rsidRDefault="008405AC" w:rsidP="008405AC">
            <w:pPr>
              <w:ind w:left="720"/>
            </w:pPr>
            <w:r w:rsidRPr="008405AC">
              <w:t>mole</w:t>
            </w:r>
          </w:p>
        </w:tc>
      </w:tr>
      <w:tr w:rsidR="008405AC" w:rsidRPr="008405AC" w14:paraId="3555AD67" w14:textId="77777777" w:rsidTr="008405AC">
        <w:trPr>
          <w:trHeight w:val="380"/>
        </w:trPr>
        <w:tc>
          <w:tcPr>
            <w:tcW w:w="6196" w:type="dxa"/>
            <w:noWrap/>
            <w:hideMark/>
          </w:tcPr>
          <w:p w14:paraId="5EC48CAD" w14:textId="77777777" w:rsidR="008405AC" w:rsidRPr="008405AC" w:rsidRDefault="008405AC" w:rsidP="008405AC">
            <w:pPr>
              <w:ind w:left="720"/>
            </w:pPr>
            <w:r w:rsidRPr="008405AC">
              <w:t>mole per cubic meter</w:t>
            </w:r>
          </w:p>
        </w:tc>
      </w:tr>
      <w:tr w:rsidR="008405AC" w:rsidRPr="008405AC" w14:paraId="59D25F6D" w14:textId="77777777" w:rsidTr="008405AC">
        <w:trPr>
          <w:trHeight w:val="380"/>
        </w:trPr>
        <w:tc>
          <w:tcPr>
            <w:tcW w:w="6196" w:type="dxa"/>
            <w:noWrap/>
            <w:hideMark/>
          </w:tcPr>
          <w:p w14:paraId="32EA191E" w14:textId="77777777" w:rsidR="008405AC" w:rsidRPr="008405AC" w:rsidRDefault="008405AC" w:rsidP="008405AC">
            <w:pPr>
              <w:ind w:left="720"/>
            </w:pPr>
            <w:r w:rsidRPr="008405AC">
              <w:t>newton</w:t>
            </w:r>
          </w:p>
        </w:tc>
      </w:tr>
      <w:tr w:rsidR="008405AC" w:rsidRPr="008405AC" w14:paraId="018B3E28" w14:textId="77777777" w:rsidTr="008405AC">
        <w:trPr>
          <w:trHeight w:val="380"/>
        </w:trPr>
        <w:tc>
          <w:tcPr>
            <w:tcW w:w="6196" w:type="dxa"/>
            <w:noWrap/>
            <w:hideMark/>
          </w:tcPr>
          <w:p w14:paraId="76A3B608" w14:textId="77777777" w:rsidR="008405AC" w:rsidRPr="008405AC" w:rsidRDefault="008405AC" w:rsidP="008405AC">
            <w:pPr>
              <w:ind w:left="720"/>
            </w:pPr>
            <w:r w:rsidRPr="008405AC">
              <w:t>newton meter</w:t>
            </w:r>
          </w:p>
        </w:tc>
      </w:tr>
      <w:tr w:rsidR="008405AC" w:rsidRPr="008405AC" w14:paraId="7B6C0142" w14:textId="77777777" w:rsidTr="008405AC">
        <w:trPr>
          <w:trHeight w:val="380"/>
        </w:trPr>
        <w:tc>
          <w:tcPr>
            <w:tcW w:w="6196" w:type="dxa"/>
            <w:noWrap/>
            <w:hideMark/>
          </w:tcPr>
          <w:p w14:paraId="55DC31B6" w14:textId="77777777" w:rsidR="008405AC" w:rsidRPr="008405AC" w:rsidRDefault="008405AC" w:rsidP="008405AC">
            <w:pPr>
              <w:ind w:left="720"/>
            </w:pPr>
            <w:r w:rsidRPr="008405AC">
              <w:t>newton per meter</w:t>
            </w:r>
          </w:p>
        </w:tc>
      </w:tr>
      <w:tr w:rsidR="008405AC" w:rsidRPr="008405AC" w14:paraId="3D8F5EF8" w14:textId="77777777" w:rsidTr="008405AC">
        <w:trPr>
          <w:trHeight w:val="380"/>
        </w:trPr>
        <w:tc>
          <w:tcPr>
            <w:tcW w:w="6196" w:type="dxa"/>
            <w:noWrap/>
            <w:hideMark/>
          </w:tcPr>
          <w:p w14:paraId="79794D17" w14:textId="77777777" w:rsidR="008405AC" w:rsidRPr="008405AC" w:rsidRDefault="008405AC" w:rsidP="008405AC">
            <w:pPr>
              <w:ind w:left="720"/>
            </w:pPr>
            <w:r w:rsidRPr="008405AC">
              <w:t>ohm</w:t>
            </w:r>
          </w:p>
        </w:tc>
      </w:tr>
      <w:tr w:rsidR="008405AC" w:rsidRPr="008405AC" w14:paraId="3A56F564" w14:textId="77777777" w:rsidTr="008405AC">
        <w:trPr>
          <w:trHeight w:val="380"/>
        </w:trPr>
        <w:tc>
          <w:tcPr>
            <w:tcW w:w="6196" w:type="dxa"/>
            <w:noWrap/>
            <w:hideMark/>
          </w:tcPr>
          <w:p w14:paraId="403B346C" w14:textId="77777777" w:rsidR="008405AC" w:rsidRPr="008405AC" w:rsidRDefault="008405AC" w:rsidP="008405AC">
            <w:pPr>
              <w:ind w:left="720"/>
            </w:pPr>
            <w:r w:rsidRPr="008405AC">
              <w:t>one</w:t>
            </w:r>
          </w:p>
        </w:tc>
      </w:tr>
      <w:tr w:rsidR="008405AC" w:rsidRPr="008405AC" w14:paraId="61D0A1A7" w14:textId="77777777" w:rsidTr="008405AC">
        <w:trPr>
          <w:trHeight w:val="380"/>
        </w:trPr>
        <w:tc>
          <w:tcPr>
            <w:tcW w:w="6196" w:type="dxa"/>
            <w:noWrap/>
            <w:hideMark/>
          </w:tcPr>
          <w:p w14:paraId="3510D538" w14:textId="77777777" w:rsidR="008405AC" w:rsidRPr="008405AC" w:rsidRDefault="008405AC" w:rsidP="008405AC">
            <w:pPr>
              <w:ind w:left="720"/>
            </w:pPr>
            <w:r w:rsidRPr="008405AC">
              <w:t>pascal of pressure</w:t>
            </w:r>
          </w:p>
        </w:tc>
      </w:tr>
      <w:tr w:rsidR="008405AC" w:rsidRPr="008405AC" w14:paraId="0E4BE22C" w14:textId="77777777" w:rsidTr="008405AC">
        <w:trPr>
          <w:trHeight w:val="380"/>
        </w:trPr>
        <w:tc>
          <w:tcPr>
            <w:tcW w:w="6196" w:type="dxa"/>
            <w:noWrap/>
            <w:hideMark/>
          </w:tcPr>
          <w:p w14:paraId="1BD67B7B" w14:textId="77777777" w:rsidR="008405AC" w:rsidRPr="008405AC" w:rsidRDefault="008405AC" w:rsidP="008405AC">
            <w:pPr>
              <w:ind w:left="720"/>
            </w:pPr>
            <w:r w:rsidRPr="008405AC">
              <w:t>pascal of stress</w:t>
            </w:r>
          </w:p>
        </w:tc>
      </w:tr>
      <w:tr w:rsidR="008405AC" w:rsidRPr="008405AC" w14:paraId="2BCDF03F" w14:textId="77777777" w:rsidTr="008405AC">
        <w:trPr>
          <w:trHeight w:val="380"/>
        </w:trPr>
        <w:tc>
          <w:tcPr>
            <w:tcW w:w="6196" w:type="dxa"/>
            <w:noWrap/>
            <w:hideMark/>
          </w:tcPr>
          <w:p w14:paraId="10306636" w14:textId="77777777" w:rsidR="008405AC" w:rsidRPr="008405AC" w:rsidRDefault="008405AC" w:rsidP="008405AC">
            <w:pPr>
              <w:ind w:left="720"/>
            </w:pPr>
            <w:r w:rsidRPr="008405AC">
              <w:t>pascal second</w:t>
            </w:r>
          </w:p>
        </w:tc>
      </w:tr>
      <w:tr w:rsidR="008405AC" w:rsidRPr="008405AC" w14:paraId="3FA088EF" w14:textId="77777777" w:rsidTr="008405AC">
        <w:trPr>
          <w:trHeight w:val="380"/>
        </w:trPr>
        <w:tc>
          <w:tcPr>
            <w:tcW w:w="6196" w:type="dxa"/>
            <w:noWrap/>
            <w:hideMark/>
          </w:tcPr>
          <w:p w14:paraId="1686776F" w14:textId="77777777" w:rsidR="008405AC" w:rsidRPr="008405AC" w:rsidRDefault="008405AC" w:rsidP="008405AC">
            <w:pPr>
              <w:ind w:left="720"/>
            </w:pPr>
            <w:r w:rsidRPr="008405AC">
              <w:t>radian</w:t>
            </w:r>
          </w:p>
        </w:tc>
      </w:tr>
      <w:tr w:rsidR="008405AC" w:rsidRPr="008405AC" w14:paraId="24DF2850" w14:textId="77777777" w:rsidTr="008405AC">
        <w:trPr>
          <w:trHeight w:val="380"/>
        </w:trPr>
        <w:tc>
          <w:tcPr>
            <w:tcW w:w="6196" w:type="dxa"/>
            <w:noWrap/>
            <w:hideMark/>
          </w:tcPr>
          <w:p w14:paraId="0CB207BA" w14:textId="77777777" w:rsidR="008405AC" w:rsidRPr="008405AC" w:rsidRDefault="008405AC" w:rsidP="008405AC">
            <w:pPr>
              <w:ind w:left="720"/>
            </w:pPr>
            <w:r w:rsidRPr="008405AC">
              <w:t>radian per second of angular frequency</w:t>
            </w:r>
          </w:p>
        </w:tc>
      </w:tr>
      <w:tr w:rsidR="008405AC" w:rsidRPr="008405AC" w14:paraId="2CD4AB51" w14:textId="77777777" w:rsidTr="008405AC">
        <w:trPr>
          <w:trHeight w:val="380"/>
        </w:trPr>
        <w:tc>
          <w:tcPr>
            <w:tcW w:w="6196" w:type="dxa"/>
            <w:noWrap/>
            <w:hideMark/>
          </w:tcPr>
          <w:p w14:paraId="201A5251" w14:textId="77777777" w:rsidR="008405AC" w:rsidRPr="008405AC" w:rsidRDefault="008405AC" w:rsidP="008405AC">
            <w:pPr>
              <w:ind w:left="720"/>
            </w:pPr>
            <w:r w:rsidRPr="008405AC">
              <w:t>radian per second of angular velocity</w:t>
            </w:r>
          </w:p>
        </w:tc>
      </w:tr>
      <w:tr w:rsidR="008405AC" w:rsidRPr="008405AC" w14:paraId="7325EC0B" w14:textId="77777777" w:rsidTr="008405AC">
        <w:trPr>
          <w:trHeight w:val="380"/>
        </w:trPr>
        <w:tc>
          <w:tcPr>
            <w:tcW w:w="6196" w:type="dxa"/>
            <w:noWrap/>
            <w:hideMark/>
          </w:tcPr>
          <w:p w14:paraId="75BD1D9C" w14:textId="735DC1DE" w:rsidR="008405AC" w:rsidRPr="008405AC" w:rsidRDefault="008405AC" w:rsidP="008405AC">
            <w:pPr>
              <w:ind w:left="720"/>
            </w:pPr>
            <w:r w:rsidRPr="008405AC">
              <w:t xml:space="preserve">radian per </w:t>
            </w:r>
            <w:r w:rsidR="00DF68C2">
              <w:t xml:space="preserve">square </w:t>
            </w:r>
            <w:r w:rsidRPr="008405AC">
              <w:t>second</w:t>
            </w:r>
          </w:p>
        </w:tc>
      </w:tr>
      <w:tr w:rsidR="008405AC" w:rsidRPr="008405AC" w14:paraId="185D8CA8" w14:textId="77777777" w:rsidTr="008405AC">
        <w:trPr>
          <w:trHeight w:val="380"/>
        </w:trPr>
        <w:tc>
          <w:tcPr>
            <w:tcW w:w="6196" w:type="dxa"/>
            <w:noWrap/>
            <w:hideMark/>
          </w:tcPr>
          <w:p w14:paraId="10DD644D" w14:textId="77777777" w:rsidR="008405AC" w:rsidRPr="008405AC" w:rsidRDefault="008405AC" w:rsidP="008405AC">
            <w:pPr>
              <w:ind w:left="720"/>
            </w:pPr>
            <w:r w:rsidRPr="008405AC">
              <w:t>second</w:t>
            </w:r>
          </w:p>
        </w:tc>
      </w:tr>
      <w:tr w:rsidR="008405AC" w:rsidRPr="008405AC" w14:paraId="3DE02E2A" w14:textId="77777777" w:rsidTr="008405AC">
        <w:trPr>
          <w:trHeight w:val="380"/>
        </w:trPr>
        <w:tc>
          <w:tcPr>
            <w:tcW w:w="6196" w:type="dxa"/>
            <w:noWrap/>
            <w:hideMark/>
          </w:tcPr>
          <w:p w14:paraId="57E9C2BA" w14:textId="77777777" w:rsidR="008405AC" w:rsidRPr="008405AC" w:rsidRDefault="008405AC" w:rsidP="008405AC">
            <w:pPr>
              <w:ind w:left="720"/>
            </w:pPr>
            <w:r w:rsidRPr="008405AC">
              <w:t>siemens</w:t>
            </w:r>
          </w:p>
        </w:tc>
      </w:tr>
      <w:tr w:rsidR="008405AC" w:rsidRPr="008405AC" w14:paraId="31E77AF8" w14:textId="77777777" w:rsidTr="008405AC">
        <w:trPr>
          <w:trHeight w:val="380"/>
        </w:trPr>
        <w:tc>
          <w:tcPr>
            <w:tcW w:w="6196" w:type="dxa"/>
            <w:noWrap/>
            <w:hideMark/>
          </w:tcPr>
          <w:p w14:paraId="5C57DDDE" w14:textId="77777777" w:rsidR="008405AC" w:rsidRPr="008405AC" w:rsidRDefault="008405AC" w:rsidP="008405AC">
            <w:pPr>
              <w:ind w:left="720"/>
            </w:pPr>
            <w:r w:rsidRPr="008405AC">
              <w:t>sievert of dose equivalent</w:t>
            </w:r>
          </w:p>
        </w:tc>
      </w:tr>
      <w:tr w:rsidR="008405AC" w:rsidRPr="008405AC" w14:paraId="02B2A298" w14:textId="77777777" w:rsidTr="008405AC">
        <w:trPr>
          <w:trHeight w:val="380"/>
        </w:trPr>
        <w:tc>
          <w:tcPr>
            <w:tcW w:w="6196" w:type="dxa"/>
            <w:noWrap/>
            <w:hideMark/>
          </w:tcPr>
          <w:p w14:paraId="18655676" w14:textId="77777777" w:rsidR="008405AC" w:rsidRPr="008405AC" w:rsidRDefault="008405AC" w:rsidP="008405AC">
            <w:pPr>
              <w:ind w:left="720"/>
            </w:pPr>
            <w:r w:rsidRPr="008405AC">
              <w:lastRenderedPageBreak/>
              <w:t>specific volume unit</w:t>
            </w:r>
          </w:p>
        </w:tc>
      </w:tr>
      <w:tr w:rsidR="008405AC" w:rsidRPr="008405AC" w14:paraId="1A5DD2B1" w14:textId="77777777" w:rsidTr="008405AC">
        <w:trPr>
          <w:trHeight w:val="380"/>
        </w:trPr>
        <w:tc>
          <w:tcPr>
            <w:tcW w:w="6196" w:type="dxa"/>
            <w:noWrap/>
            <w:hideMark/>
          </w:tcPr>
          <w:p w14:paraId="1A145DC3" w14:textId="77777777" w:rsidR="008405AC" w:rsidRPr="008405AC" w:rsidRDefault="008405AC" w:rsidP="008405AC">
            <w:pPr>
              <w:ind w:left="720"/>
            </w:pPr>
            <w:r w:rsidRPr="008405AC">
              <w:t>square meter</w:t>
            </w:r>
          </w:p>
        </w:tc>
      </w:tr>
      <w:tr w:rsidR="008405AC" w:rsidRPr="008405AC" w14:paraId="73F853E8" w14:textId="77777777" w:rsidTr="008405AC">
        <w:trPr>
          <w:trHeight w:val="380"/>
        </w:trPr>
        <w:tc>
          <w:tcPr>
            <w:tcW w:w="6196" w:type="dxa"/>
            <w:noWrap/>
            <w:hideMark/>
          </w:tcPr>
          <w:p w14:paraId="1C689A68" w14:textId="77777777" w:rsidR="008405AC" w:rsidRPr="008405AC" w:rsidRDefault="008405AC" w:rsidP="008405AC">
            <w:pPr>
              <w:ind w:left="720"/>
            </w:pPr>
            <w:r w:rsidRPr="008405AC">
              <w:t>steradian</w:t>
            </w:r>
          </w:p>
        </w:tc>
      </w:tr>
      <w:tr w:rsidR="008405AC" w:rsidRPr="008405AC" w14:paraId="6036E3CC" w14:textId="77777777" w:rsidTr="008405AC">
        <w:trPr>
          <w:trHeight w:val="380"/>
        </w:trPr>
        <w:tc>
          <w:tcPr>
            <w:tcW w:w="6196" w:type="dxa"/>
            <w:noWrap/>
            <w:hideMark/>
          </w:tcPr>
          <w:p w14:paraId="18B7DA1A" w14:textId="77777777" w:rsidR="008405AC" w:rsidRPr="008405AC" w:rsidRDefault="008405AC" w:rsidP="008405AC">
            <w:pPr>
              <w:ind w:left="720"/>
            </w:pPr>
            <w:r w:rsidRPr="008405AC">
              <w:t>tesla</w:t>
            </w:r>
          </w:p>
        </w:tc>
      </w:tr>
      <w:tr w:rsidR="008405AC" w:rsidRPr="008405AC" w14:paraId="5A0F6FDF" w14:textId="77777777" w:rsidTr="008405AC">
        <w:trPr>
          <w:trHeight w:val="380"/>
        </w:trPr>
        <w:tc>
          <w:tcPr>
            <w:tcW w:w="6196" w:type="dxa"/>
            <w:noWrap/>
            <w:hideMark/>
          </w:tcPr>
          <w:p w14:paraId="34CDE679" w14:textId="77777777" w:rsidR="008405AC" w:rsidRPr="008405AC" w:rsidRDefault="008405AC" w:rsidP="008405AC">
            <w:pPr>
              <w:ind w:left="720"/>
            </w:pPr>
            <w:r w:rsidRPr="008405AC">
              <w:t>US Dollar</w:t>
            </w:r>
          </w:p>
        </w:tc>
      </w:tr>
      <w:tr w:rsidR="008405AC" w:rsidRPr="008405AC" w14:paraId="44CC3BE0" w14:textId="77777777" w:rsidTr="008405AC">
        <w:trPr>
          <w:trHeight w:val="380"/>
        </w:trPr>
        <w:tc>
          <w:tcPr>
            <w:tcW w:w="6196" w:type="dxa"/>
            <w:noWrap/>
            <w:hideMark/>
          </w:tcPr>
          <w:p w14:paraId="1D439588" w14:textId="77777777" w:rsidR="008405AC" w:rsidRPr="008405AC" w:rsidRDefault="008405AC" w:rsidP="008405AC">
            <w:pPr>
              <w:ind w:left="720"/>
            </w:pPr>
            <w:r w:rsidRPr="008405AC">
              <w:t>volt</w:t>
            </w:r>
          </w:p>
        </w:tc>
      </w:tr>
      <w:tr w:rsidR="008405AC" w:rsidRPr="008405AC" w14:paraId="3191CC93" w14:textId="77777777" w:rsidTr="008405AC">
        <w:trPr>
          <w:trHeight w:val="380"/>
        </w:trPr>
        <w:tc>
          <w:tcPr>
            <w:tcW w:w="6196" w:type="dxa"/>
            <w:noWrap/>
            <w:hideMark/>
          </w:tcPr>
          <w:p w14:paraId="6A21E66D" w14:textId="77777777" w:rsidR="008405AC" w:rsidRPr="008405AC" w:rsidRDefault="008405AC" w:rsidP="008405AC">
            <w:pPr>
              <w:ind w:left="720"/>
            </w:pPr>
            <w:r w:rsidRPr="008405AC">
              <w:t>volt per meter</w:t>
            </w:r>
          </w:p>
        </w:tc>
      </w:tr>
      <w:tr w:rsidR="008405AC" w:rsidRPr="008405AC" w14:paraId="643D87B9" w14:textId="77777777" w:rsidTr="008405AC">
        <w:trPr>
          <w:trHeight w:val="380"/>
        </w:trPr>
        <w:tc>
          <w:tcPr>
            <w:tcW w:w="6196" w:type="dxa"/>
            <w:noWrap/>
            <w:hideMark/>
          </w:tcPr>
          <w:p w14:paraId="4161E93C" w14:textId="77777777" w:rsidR="008405AC" w:rsidRPr="008405AC" w:rsidRDefault="008405AC" w:rsidP="008405AC">
            <w:pPr>
              <w:ind w:left="720"/>
            </w:pPr>
            <w:r w:rsidRPr="008405AC">
              <w:t>watt of power</w:t>
            </w:r>
          </w:p>
        </w:tc>
      </w:tr>
      <w:tr w:rsidR="008405AC" w:rsidRPr="008405AC" w14:paraId="5C71F7AC" w14:textId="77777777" w:rsidTr="008405AC">
        <w:trPr>
          <w:trHeight w:val="380"/>
        </w:trPr>
        <w:tc>
          <w:tcPr>
            <w:tcW w:w="6196" w:type="dxa"/>
            <w:noWrap/>
            <w:hideMark/>
          </w:tcPr>
          <w:p w14:paraId="278CB7C0" w14:textId="77777777" w:rsidR="008405AC" w:rsidRPr="008405AC" w:rsidRDefault="008405AC" w:rsidP="008405AC">
            <w:pPr>
              <w:ind w:left="720"/>
            </w:pPr>
            <w:r w:rsidRPr="008405AC">
              <w:t>watt of radiant flux</w:t>
            </w:r>
          </w:p>
        </w:tc>
      </w:tr>
      <w:tr w:rsidR="008405AC" w:rsidRPr="008405AC" w14:paraId="36892762" w14:textId="77777777" w:rsidTr="008405AC">
        <w:trPr>
          <w:trHeight w:val="380"/>
        </w:trPr>
        <w:tc>
          <w:tcPr>
            <w:tcW w:w="6196" w:type="dxa"/>
            <w:noWrap/>
            <w:hideMark/>
          </w:tcPr>
          <w:p w14:paraId="1B3760CC" w14:textId="77777777" w:rsidR="008405AC" w:rsidRPr="008405AC" w:rsidRDefault="008405AC" w:rsidP="008405AC">
            <w:pPr>
              <w:ind w:left="720"/>
            </w:pPr>
            <w:r w:rsidRPr="008405AC">
              <w:t>watt per square meter of heat flux density</w:t>
            </w:r>
          </w:p>
        </w:tc>
      </w:tr>
      <w:tr w:rsidR="008405AC" w:rsidRPr="008405AC" w14:paraId="37C6BB06" w14:textId="77777777" w:rsidTr="008405AC">
        <w:trPr>
          <w:trHeight w:val="380"/>
        </w:trPr>
        <w:tc>
          <w:tcPr>
            <w:tcW w:w="6196" w:type="dxa"/>
            <w:noWrap/>
            <w:hideMark/>
          </w:tcPr>
          <w:p w14:paraId="46B8BA0F" w14:textId="77777777" w:rsidR="008405AC" w:rsidRPr="008405AC" w:rsidRDefault="008405AC" w:rsidP="008405AC">
            <w:pPr>
              <w:ind w:left="720"/>
            </w:pPr>
            <w:r w:rsidRPr="008405AC">
              <w:t>watt per square meter of irradiance</w:t>
            </w:r>
          </w:p>
        </w:tc>
      </w:tr>
      <w:tr w:rsidR="008405AC" w:rsidRPr="008405AC" w14:paraId="013F8905" w14:textId="77777777" w:rsidTr="008405AC">
        <w:trPr>
          <w:trHeight w:val="380"/>
        </w:trPr>
        <w:tc>
          <w:tcPr>
            <w:tcW w:w="6196" w:type="dxa"/>
            <w:noWrap/>
            <w:hideMark/>
          </w:tcPr>
          <w:p w14:paraId="5E01AC65" w14:textId="77777777" w:rsidR="008405AC" w:rsidRPr="008405AC" w:rsidRDefault="008405AC" w:rsidP="008405AC">
            <w:pPr>
              <w:ind w:left="720"/>
            </w:pPr>
            <w:r w:rsidRPr="008405AC">
              <w:t>watt per square meter steradian</w:t>
            </w:r>
          </w:p>
        </w:tc>
      </w:tr>
      <w:tr w:rsidR="008405AC" w:rsidRPr="008405AC" w14:paraId="06A1979B" w14:textId="77777777" w:rsidTr="008405AC">
        <w:trPr>
          <w:trHeight w:val="380"/>
        </w:trPr>
        <w:tc>
          <w:tcPr>
            <w:tcW w:w="6196" w:type="dxa"/>
            <w:noWrap/>
            <w:hideMark/>
          </w:tcPr>
          <w:p w14:paraId="7D782E9F" w14:textId="77777777" w:rsidR="008405AC" w:rsidRPr="008405AC" w:rsidRDefault="008405AC" w:rsidP="008405AC">
            <w:pPr>
              <w:ind w:left="720"/>
            </w:pPr>
            <w:r w:rsidRPr="008405AC">
              <w:t>watt per steradian</w:t>
            </w:r>
          </w:p>
        </w:tc>
      </w:tr>
      <w:tr w:rsidR="008405AC" w:rsidRPr="008405AC" w14:paraId="779B0EDC" w14:textId="77777777" w:rsidTr="008405AC">
        <w:trPr>
          <w:trHeight w:val="380"/>
        </w:trPr>
        <w:tc>
          <w:tcPr>
            <w:tcW w:w="6196" w:type="dxa"/>
            <w:noWrap/>
            <w:hideMark/>
          </w:tcPr>
          <w:p w14:paraId="0041CE7C" w14:textId="77777777" w:rsidR="008405AC" w:rsidRPr="008405AC" w:rsidRDefault="008405AC" w:rsidP="008405AC">
            <w:pPr>
              <w:ind w:left="720"/>
            </w:pPr>
            <w:r w:rsidRPr="008405AC">
              <w:t>wavenumber unit</w:t>
            </w:r>
          </w:p>
        </w:tc>
      </w:tr>
      <w:tr w:rsidR="008405AC" w:rsidRPr="008405AC" w14:paraId="20A60D66" w14:textId="77777777" w:rsidTr="008405AC">
        <w:trPr>
          <w:trHeight w:val="380"/>
        </w:trPr>
        <w:tc>
          <w:tcPr>
            <w:tcW w:w="6196" w:type="dxa"/>
            <w:noWrap/>
            <w:hideMark/>
          </w:tcPr>
          <w:p w14:paraId="12960763" w14:textId="77777777" w:rsidR="008405AC" w:rsidRPr="008405AC" w:rsidRDefault="008405AC" w:rsidP="008405AC">
            <w:pPr>
              <w:ind w:left="720"/>
            </w:pPr>
            <w:r w:rsidRPr="008405AC">
              <w:t>weber</w:t>
            </w:r>
          </w:p>
        </w:tc>
      </w:tr>
    </w:tbl>
    <w:p w14:paraId="24E3CF9E" w14:textId="77777777" w:rsidR="008405AC" w:rsidRDefault="008405AC" w:rsidP="008405AC">
      <w:pPr>
        <w:ind w:left="720"/>
      </w:pPr>
    </w:p>
    <w:p w14:paraId="555B2AE6" w14:textId="0DA7FAB3" w:rsidR="008405AC" w:rsidRDefault="008405AC" w:rsidP="008A2F13">
      <w:r>
        <w:t xml:space="preserve">Units can be added to the set of standard units, </w:t>
      </w:r>
      <w:proofErr w:type="gramStart"/>
      <w:r>
        <w:t>as long as</w:t>
      </w:r>
      <w:proofErr w:type="gramEnd"/>
      <w:r>
        <w:t xml:space="preserve"> they have a unique decomposition into the base units and also have a distinct physical meaning.</w:t>
      </w:r>
    </w:p>
    <w:p w14:paraId="0A8864E2" w14:textId="77777777" w:rsidR="008405AC" w:rsidRDefault="008405AC" w:rsidP="008A2F13"/>
    <w:p w14:paraId="162587E2" w14:textId="4CD4DA01" w:rsidR="007A255C" w:rsidRPr="00205694" w:rsidRDefault="007A255C" w:rsidP="008A2F13">
      <w:r>
        <w:t xml:space="preserve">For business metrics, </w:t>
      </w:r>
      <w:r w:rsidR="0017528C">
        <w:t xml:space="preserve">the guideline is to establish a set of metrics with distinct meanings and check to see if a calculation includes a single business metric (aspect). </w:t>
      </w:r>
      <w:r w:rsidR="0017528C" w:rsidRPr="00205694">
        <w:rPr>
          <w:strike/>
        </w:rPr>
        <w:t xml:space="preserve">The alternative is to fold the metric into the unit, </w:t>
      </w:r>
      <w:proofErr w:type="gramStart"/>
      <w:r w:rsidR="0017528C" w:rsidRPr="00205694">
        <w:rPr>
          <w:strike/>
        </w:rPr>
        <w:t>e.g.</w:t>
      </w:r>
      <w:proofErr w:type="gramEnd"/>
      <w:r w:rsidR="0017528C" w:rsidRPr="00205694">
        <w:rPr>
          <w:strike/>
        </w:rPr>
        <w:t xml:space="preserve"> hours-of-mean-time-to-repair as a unit.</w:t>
      </w:r>
      <w:r w:rsidR="00205694">
        <w:rPr>
          <w:strike/>
        </w:rPr>
        <w:t xml:space="preserve"> </w:t>
      </w:r>
      <w:r w:rsidR="00205694" w:rsidRPr="00205694">
        <w:t>[</w:t>
      </w:r>
      <w:r w:rsidR="00205694">
        <w:t xml:space="preserve">this alternative is </w:t>
      </w:r>
      <w:r w:rsidR="00205694" w:rsidRPr="00205694">
        <w:t>not a good idea]</w:t>
      </w:r>
    </w:p>
    <w:p w14:paraId="68AEE419" w14:textId="470E97F1" w:rsidR="008A2F13" w:rsidRDefault="008A2F13" w:rsidP="008A2F13"/>
    <w:p w14:paraId="30641987" w14:textId="77777777" w:rsidR="00A144B9" w:rsidRPr="006631D8" w:rsidRDefault="00A144B9" w:rsidP="00A144B9"/>
    <w:p w14:paraId="0B34240B" w14:textId="58F16B5F" w:rsidR="00A144B9" w:rsidRPr="00ED7ACF" w:rsidRDefault="00A144B9" w:rsidP="00A144B9">
      <w:pPr>
        <w:pStyle w:val="Heading1"/>
        <w:rPr>
          <w:rFonts w:cstheme="majorHAnsi"/>
          <w:sz w:val="28"/>
          <w:szCs w:val="28"/>
        </w:rPr>
      </w:pPr>
      <w:bookmarkStart w:id="7" w:name="_Toc72740520"/>
      <w:r>
        <w:rPr>
          <w:rFonts w:cstheme="majorHAnsi"/>
          <w:sz w:val="28"/>
          <w:szCs w:val="28"/>
        </w:rPr>
        <w:t>Example of adding a new unit of measure</w:t>
      </w:r>
      <w:bookmarkEnd w:id="7"/>
    </w:p>
    <w:p w14:paraId="6A575EDC" w14:textId="77777777" w:rsidR="00A144B9" w:rsidRDefault="00A144B9" w:rsidP="00A144B9"/>
    <w:p w14:paraId="3011498F" w14:textId="77777777" w:rsidR="00A144B9" w:rsidRPr="00A144B9" w:rsidRDefault="00A144B9" w:rsidP="00A144B9">
      <w:r w:rsidRPr="00A144B9">
        <w:t>A U.S. Enterprise dealing with automobiles needs to record information about watt-hours per mile for electric cars.</w:t>
      </w:r>
    </w:p>
    <w:p w14:paraId="223FB497" w14:textId="77777777" w:rsidR="00A144B9" w:rsidRPr="00A144B9" w:rsidRDefault="00A144B9" w:rsidP="00A144B9"/>
    <w:p w14:paraId="00FFBCD5" w14:textId="77777777" w:rsidR="00A144B9" w:rsidRPr="00A144B9" w:rsidRDefault="00A144B9" w:rsidP="00A144B9">
      <w:r w:rsidRPr="00A144B9">
        <w:t>Watt-hours per mile is a unit of measure.</w:t>
      </w:r>
    </w:p>
    <w:p w14:paraId="6DFBDECA" w14:textId="77777777" w:rsidR="00A144B9" w:rsidRPr="00A144B9" w:rsidRDefault="00A144B9" w:rsidP="00A144B9"/>
    <w:p w14:paraId="729EDA0D" w14:textId="77777777" w:rsidR="00A144B9" w:rsidRPr="00A144B9" w:rsidRDefault="00A144B9" w:rsidP="00A144B9">
      <w:r w:rsidRPr="00A144B9">
        <w:t xml:space="preserve">The IRI could </w:t>
      </w:r>
      <w:proofErr w:type="gramStart"/>
      <w:r w:rsidRPr="00A144B9">
        <w:t>be :</w:t>
      </w:r>
      <w:proofErr w:type="gramEnd"/>
      <w:r w:rsidRPr="00A144B9">
        <w:t>_watt-</w:t>
      </w:r>
      <w:proofErr w:type="spellStart"/>
      <w:r w:rsidRPr="00A144B9">
        <w:t>hour_per_mile</w:t>
      </w:r>
      <w:proofErr w:type="spellEnd"/>
      <w:r w:rsidRPr="00A144B9">
        <w:t>, with symbol “</w:t>
      </w:r>
      <w:proofErr w:type="spellStart"/>
      <w:r w:rsidRPr="00A144B9">
        <w:t>wh</w:t>
      </w:r>
      <w:proofErr w:type="spellEnd"/>
      <w:r w:rsidRPr="00A144B9">
        <w:t>/mi”.</w:t>
      </w:r>
    </w:p>
    <w:p w14:paraId="5320150A" w14:textId="77777777" w:rsidR="00A144B9" w:rsidRPr="00A144B9" w:rsidRDefault="00A144B9" w:rsidP="00A144B9"/>
    <w:p w14:paraId="10D40544" w14:textId="77777777" w:rsidR="00A144B9" w:rsidRPr="00A144B9" w:rsidRDefault="00A144B9" w:rsidP="00A144B9">
      <w:r w:rsidRPr="00A144B9">
        <w:t xml:space="preserve">They can compare any two values, because the units are the same, </w:t>
      </w:r>
      <w:proofErr w:type="gramStart"/>
      <w:r w:rsidRPr="00A144B9">
        <w:t>e.g.</w:t>
      </w:r>
      <w:proofErr w:type="gramEnd"/>
      <w:r w:rsidRPr="00A144B9">
        <w:t xml:space="preserve"> car model A has the best efficiency at 250 </w:t>
      </w:r>
      <w:proofErr w:type="spellStart"/>
      <w:r w:rsidRPr="00A144B9">
        <w:t>wh</w:t>
      </w:r>
      <w:proofErr w:type="spellEnd"/>
      <w:r w:rsidRPr="00A144B9">
        <w:t xml:space="preserve">/mi (where a lower number is better), and the next best is 10 </w:t>
      </w:r>
      <w:proofErr w:type="spellStart"/>
      <w:r w:rsidRPr="00A144B9">
        <w:t>wh</w:t>
      </w:r>
      <w:proofErr w:type="spellEnd"/>
      <w:r w:rsidRPr="00A144B9">
        <w:t xml:space="preserve">/mi more at 260 </w:t>
      </w:r>
      <w:proofErr w:type="spellStart"/>
      <w:r w:rsidRPr="00A144B9">
        <w:t>wh</w:t>
      </w:r>
      <w:proofErr w:type="spellEnd"/>
      <w:r w:rsidRPr="00A144B9">
        <w:t>/mi.</w:t>
      </w:r>
    </w:p>
    <w:p w14:paraId="30DAB302" w14:textId="77777777" w:rsidR="00A144B9" w:rsidRPr="00A144B9" w:rsidRDefault="00A144B9" w:rsidP="00A144B9"/>
    <w:p w14:paraId="51121B22" w14:textId="77777777" w:rsidR="00A144B9" w:rsidRPr="00A144B9" w:rsidRDefault="00A144B9" w:rsidP="00A144B9">
      <w:r w:rsidRPr="00A144B9">
        <w:lastRenderedPageBreak/>
        <w:t>There is initially no need to convert to standard units.</w:t>
      </w:r>
    </w:p>
    <w:p w14:paraId="3EA7C52A" w14:textId="77777777" w:rsidR="00A144B9" w:rsidRPr="00A144B9" w:rsidRDefault="00A144B9" w:rsidP="00A144B9"/>
    <w:p w14:paraId="45439F9E" w14:textId="77777777" w:rsidR="00A144B9" w:rsidRPr="00A144B9" w:rsidRDefault="00A144B9" w:rsidP="00A144B9">
      <w:r w:rsidRPr="00A144B9">
        <w:t xml:space="preserve">Later, they find they want to track watt-hours per </w:t>
      </w:r>
      <w:proofErr w:type="gramStart"/>
      <w:r w:rsidRPr="00A144B9">
        <w:t>kilometer</w:t>
      </w:r>
      <w:proofErr w:type="gramEnd"/>
      <w:r w:rsidRPr="00A144B9">
        <w:t xml:space="preserve"> and they want to make comparisons with the values in watt-hours per mile.</w:t>
      </w:r>
    </w:p>
    <w:p w14:paraId="4E4F558D" w14:textId="77777777" w:rsidR="00A144B9" w:rsidRPr="00A144B9" w:rsidRDefault="00A144B9" w:rsidP="00A144B9"/>
    <w:p w14:paraId="5491E44E" w14:textId="77777777" w:rsidR="00A144B9" w:rsidRPr="00A144B9" w:rsidRDefault="00A144B9" w:rsidP="00A144B9">
      <w:r w:rsidRPr="00A144B9">
        <w:t>Although it would be easier for them to convert directly from one to the other, the ontology only supports conversion to a common standard unit based on coherent units.</w:t>
      </w:r>
    </w:p>
    <w:p w14:paraId="7BF05541" w14:textId="77777777" w:rsidR="00A144B9" w:rsidRPr="00A144B9" w:rsidRDefault="00A144B9" w:rsidP="00A144B9"/>
    <w:p w14:paraId="4E03A569" w14:textId="77777777" w:rsidR="00A144B9" w:rsidRPr="00A144B9" w:rsidRDefault="00A144B9" w:rsidP="00A144B9">
      <w:r w:rsidRPr="00A144B9">
        <w:t>A guideline for manual conversion would be as follows:</w:t>
      </w:r>
    </w:p>
    <w:p w14:paraId="7CED7E4A" w14:textId="77777777" w:rsidR="00A144B9" w:rsidRPr="00A144B9" w:rsidRDefault="00A144B9" w:rsidP="00A144B9"/>
    <w:p w14:paraId="3E12D239" w14:textId="77777777" w:rsidR="00A144B9" w:rsidRPr="00A144B9" w:rsidRDefault="00A144B9" w:rsidP="00A144B9">
      <w:r w:rsidRPr="00A144B9">
        <w:t>Look up list of base units (</w:t>
      </w:r>
      <w:proofErr w:type="gramStart"/>
      <w:r w:rsidRPr="00A144B9">
        <w:t>e.g.</w:t>
      </w:r>
      <w:proofErr w:type="gramEnd"/>
      <w:r w:rsidRPr="00A144B9">
        <w:t xml:space="preserve"> in annotation of </w:t>
      </w:r>
      <w:proofErr w:type="spellStart"/>
      <w:r w:rsidRPr="00A144B9">
        <w:t>StandardUnit</w:t>
      </w:r>
      <w:proofErr w:type="spellEnd"/>
      <w:r w:rsidRPr="00A144B9">
        <w:t xml:space="preserve"> or online):</w:t>
      </w:r>
    </w:p>
    <w:p w14:paraId="73179990" w14:textId="77777777" w:rsidR="00A144B9" w:rsidRPr="00A144B9" w:rsidRDefault="00A144B9" w:rsidP="00A144B9"/>
    <w:p w14:paraId="6B6B26BD" w14:textId="77777777" w:rsidR="00A144B9" w:rsidRPr="00A144B9" w:rsidRDefault="00A144B9" w:rsidP="00A144B9">
      <w:pPr>
        <w:numPr>
          <w:ilvl w:val="0"/>
          <w:numId w:val="10"/>
        </w:numPr>
      </w:pPr>
      <w:r w:rsidRPr="00A144B9">
        <w:t>Hour is not standard. It maps to second.</w:t>
      </w:r>
    </w:p>
    <w:p w14:paraId="08BA2390" w14:textId="77777777" w:rsidR="00A144B9" w:rsidRPr="00A144B9" w:rsidRDefault="00A144B9" w:rsidP="00A144B9">
      <w:pPr>
        <w:numPr>
          <w:ilvl w:val="0"/>
          <w:numId w:val="10"/>
        </w:numPr>
      </w:pPr>
      <w:r w:rsidRPr="00A144B9">
        <w:t>Mile is not standard. It maps to meter.</w:t>
      </w:r>
    </w:p>
    <w:p w14:paraId="67F30B60" w14:textId="77777777" w:rsidR="00A144B9" w:rsidRPr="00A144B9" w:rsidRDefault="00A144B9" w:rsidP="00A144B9"/>
    <w:p w14:paraId="72084753" w14:textId="77777777" w:rsidR="00A144B9" w:rsidRPr="00A144B9" w:rsidRDefault="00A144B9" w:rsidP="00A144B9">
      <w:r w:rsidRPr="00A144B9">
        <w:t>The standard unit is always formed by plugging in base units to substitute for non-standard ones, e.g.</w:t>
      </w:r>
    </w:p>
    <w:p w14:paraId="42A5391B" w14:textId="77777777" w:rsidR="00A144B9" w:rsidRPr="00A144B9" w:rsidRDefault="00A144B9" w:rsidP="00A144B9"/>
    <w:p w14:paraId="578CA7AF" w14:textId="77777777" w:rsidR="00A144B9" w:rsidRPr="00A144B9" w:rsidRDefault="00A144B9" w:rsidP="00A144B9">
      <w:r w:rsidRPr="00A144B9">
        <w:t>watt-</w:t>
      </w:r>
      <w:proofErr w:type="spellStart"/>
      <w:r w:rsidRPr="00A144B9">
        <w:rPr>
          <w:i/>
          <w:iCs/>
        </w:rPr>
        <w:t>hour</w:t>
      </w:r>
      <w:r w:rsidRPr="00A144B9">
        <w:t>_per_</w:t>
      </w:r>
      <w:r w:rsidRPr="00A144B9">
        <w:rPr>
          <w:i/>
          <w:iCs/>
        </w:rPr>
        <w:t>mile</w:t>
      </w:r>
      <w:proofErr w:type="spellEnd"/>
      <w:r w:rsidRPr="00A144B9">
        <w:t xml:space="preserve">     </w:t>
      </w:r>
      <w:proofErr w:type="spellStart"/>
      <w:r w:rsidRPr="00A144B9">
        <w:t>hasStandardUnit</w:t>
      </w:r>
      <w:proofErr w:type="spellEnd"/>
      <w:r w:rsidRPr="00A144B9">
        <w:t xml:space="preserve">    watt-</w:t>
      </w:r>
      <w:proofErr w:type="spellStart"/>
      <w:r w:rsidRPr="00A144B9">
        <w:rPr>
          <w:i/>
          <w:iCs/>
        </w:rPr>
        <w:t>second</w:t>
      </w:r>
      <w:r w:rsidRPr="00A144B9">
        <w:t>_per_</w:t>
      </w:r>
      <w:r w:rsidRPr="00A144B9">
        <w:rPr>
          <w:i/>
          <w:iCs/>
        </w:rPr>
        <w:t>meter</w:t>
      </w:r>
      <w:proofErr w:type="spellEnd"/>
    </w:p>
    <w:p w14:paraId="4A09CD79" w14:textId="77777777" w:rsidR="00A144B9" w:rsidRPr="00A144B9" w:rsidRDefault="00A144B9" w:rsidP="00A144B9"/>
    <w:p w14:paraId="751C802F" w14:textId="77777777" w:rsidR="00A144B9" w:rsidRPr="00A144B9" w:rsidRDefault="00A144B9" w:rsidP="00A144B9">
      <w:r w:rsidRPr="00A144B9">
        <w:t>They decide the symbol will be “watt-second per meter” (but do not plan to display it).</w:t>
      </w:r>
    </w:p>
    <w:p w14:paraId="616E741F" w14:textId="77777777" w:rsidR="00A144B9" w:rsidRPr="00A144B9" w:rsidRDefault="00A144B9" w:rsidP="00A144B9"/>
    <w:p w14:paraId="6569BC93" w14:textId="77777777" w:rsidR="00A144B9" w:rsidRPr="00A144B9" w:rsidRDefault="00A144B9" w:rsidP="00A144B9">
      <w:r w:rsidRPr="00A144B9">
        <w:t>Conversion can then be done by substitution, using the mathematical expression they find most natural:</w:t>
      </w:r>
    </w:p>
    <w:p w14:paraId="24744226" w14:textId="77777777" w:rsidR="00A144B9" w:rsidRPr="00A144B9" w:rsidRDefault="00A144B9" w:rsidP="00A144B9"/>
    <w:p w14:paraId="1B1A711E" w14:textId="77777777" w:rsidR="00A144B9" w:rsidRPr="00A144B9" w:rsidRDefault="00A144B9" w:rsidP="00A144B9">
      <w:r w:rsidRPr="00A144B9">
        <w:t xml:space="preserve">Watt hour / mile   </w:t>
      </w:r>
    </w:p>
    <w:p w14:paraId="6072400C" w14:textId="77777777" w:rsidR="00A144B9" w:rsidRPr="00A144B9" w:rsidRDefault="00A144B9" w:rsidP="00A144B9"/>
    <w:p w14:paraId="1A0FF663" w14:textId="77777777" w:rsidR="00A144B9" w:rsidRPr="00A144B9" w:rsidRDefault="00A144B9" w:rsidP="00A144B9">
      <w:r w:rsidRPr="00A144B9">
        <w:t>(</w:t>
      </w:r>
      <w:proofErr w:type="gramStart"/>
      <w:r w:rsidRPr="00A144B9">
        <w:t>watt</w:t>
      </w:r>
      <w:proofErr w:type="gramEnd"/>
      <w:r w:rsidRPr="00A144B9">
        <w:t xml:space="preserve"> to watt) (hour to second) / (mile to meter) =</w:t>
      </w:r>
    </w:p>
    <w:p w14:paraId="716BE843" w14:textId="77777777" w:rsidR="00A144B9" w:rsidRPr="00A144B9" w:rsidRDefault="00A144B9" w:rsidP="00A144B9"/>
    <w:p w14:paraId="53BA4A4D" w14:textId="77777777" w:rsidR="00A144B9" w:rsidRPr="00A144B9" w:rsidRDefault="00A144B9" w:rsidP="00A144B9">
      <w:r w:rsidRPr="00A144B9">
        <w:t>(</w:t>
      </w:r>
      <w:proofErr w:type="gramStart"/>
      <w:r w:rsidRPr="00A144B9">
        <w:t>1)(</w:t>
      </w:r>
      <w:proofErr w:type="gramEnd"/>
      <w:r w:rsidRPr="00A144B9">
        <w:t xml:space="preserve">3600) / ( 1609.344) = </w:t>
      </w:r>
    </w:p>
    <w:p w14:paraId="2CC13E78" w14:textId="77777777" w:rsidR="00A144B9" w:rsidRPr="00A144B9" w:rsidRDefault="00A144B9" w:rsidP="00A144B9"/>
    <w:p w14:paraId="0C865AE9" w14:textId="77777777" w:rsidR="00A144B9" w:rsidRPr="00A144B9" w:rsidRDefault="00A144B9" w:rsidP="00A144B9">
      <w:r w:rsidRPr="00A144B9">
        <w:t>2.237</w:t>
      </w:r>
    </w:p>
    <w:p w14:paraId="195A63E7" w14:textId="77777777" w:rsidR="00A144B9" w:rsidRPr="00A144B9" w:rsidRDefault="00A144B9" w:rsidP="00A144B9"/>
    <w:p w14:paraId="3BB764CB" w14:textId="77777777" w:rsidR="00A144B9" w:rsidRPr="00A144B9" w:rsidRDefault="00A144B9" w:rsidP="00A144B9">
      <w:r w:rsidRPr="00A144B9">
        <w:t>This is how manual conversion works, and it does not require the user to understand how to decompose the unit explicitly.</w:t>
      </w:r>
    </w:p>
    <w:p w14:paraId="05A28B5A" w14:textId="77777777" w:rsidR="00A144B9" w:rsidRPr="00A144B9" w:rsidRDefault="00A144B9" w:rsidP="00A144B9"/>
    <w:p w14:paraId="47C8B9BC" w14:textId="77777777" w:rsidR="00A144B9" w:rsidRPr="00A144B9" w:rsidRDefault="00A144B9" w:rsidP="00A144B9">
      <w:r w:rsidRPr="00A144B9">
        <w:t>It looks like automation requires a pre-defined structure that some users will not understand, or some clever parsing. For example:</w:t>
      </w:r>
    </w:p>
    <w:p w14:paraId="7A8A4A6B" w14:textId="77777777" w:rsidR="00A144B9" w:rsidRPr="00A144B9" w:rsidRDefault="00A144B9" w:rsidP="00A144B9"/>
    <w:p w14:paraId="2655E502" w14:textId="77777777" w:rsidR="00A144B9" w:rsidRPr="00A144B9" w:rsidRDefault="00A144B9" w:rsidP="00A144B9">
      <w:r w:rsidRPr="00A144B9">
        <w:t>watt hour mile</w:t>
      </w:r>
      <w:r w:rsidRPr="00A144B9">
        <w:rPr>
          <w:vertAlign w:val="superscript"/>
        </w:rPr>
        <w:t>-1</w:t>
      </w:r>
      <w:r w:rsidRPr="00A144B9">
        <w:t xml:space="preserve"> will not make sense to some people</w:t>
      </w:r>
    </w:p>
    <w:p w14:paraId="483F3433" w14:textId="77777777" w:rsidR="00A144B9" w:rsidRPr="00A144B9" w:rsidRDefault="00A144B9" w:rsidP="00A144B9"/>
    <w:p w14:paraId="3BC26464" w14:textId="77777777" w:rsidR="00A144B9" w:rsidRPr="00A144B9" w:rsidRDefault="00A144B9" w:rsidP="00A144B9">
      <w:r w:rsidRPr="00A144B9">
        <w:t xml:space="preserve">decomposition using multiplication and division can be </w:t>
      </w:r>
      <w:proofErr w:type="gramStart"/>
      <w:r w:rsidRPr="00A144B9">
        <w:t>done, but</w:t>
      </w:r>
      <w:proofErr w:type="gramEnd"/>
      <w:r w:rsidRPr="00A144B9">
        <w:t xml:space="preserve"> may prove to be error-prone because division is not commutative.</w:t>
      </w:r>
    </w:p>
    <w:p w14:paraId="2B921E54" w14:textId="77777777" w:rsidR="00A144B9" w:rsidRPr="00A144B9" w:rsidRDefault="00A144B9" w:rsidP="00A144B9"/>
    <w:p w14:paraId="1FA259BB" w14:textId="77777777" w:rsidR="00A144B9" w:rsidRPr="00A144B9" w:rsidRDefault="00A144B9" w:rsidP="00A144B9">
      <w:r w:rsidRPr="00A144B9">
        <w:lastRenderedPageBreak/>
        <w:t>Requiring a user to define a product of powers or a decomposition by multiplication and division may be as much work, and possibly more error-prone, than using the guideline above.</w:t>
      </w:r>
    </w:p>
    <w:p w14:paraId="32590CE9" w14:textId="77777777" w:rsidR="00A144B9" w:rsidRPr="00A144B9" w:rsidRDefault="00A144B9" w:rsidP="00A144B9"/>
    <w:p w14:paraId="1D512668" w14:textId="77777777" w:rsidR="00A144B9" w:rsidRPr="00A144B9" w:rsidRDefault="00A144B9" w:rsidP="00A144B9">
      <w:r w:rsidRPr="00A144B9">
        <w:t xml:space="preserve">From a user point of view, automation might ideally take the form of a centralized service that maintains a curated list of thousands of units and helps a user pick the ones they care about, </w:t>
      </w:r>
      <w:proofErr w:type="gramStart"/>
      <w:r w:rsidRPr="00A144B9">
        <w:t>and also</w:t>
      </w:r>
      <w:proofErr w:type="gramEnd"/>
      <w:r w:rsidRPr="00A144B9">
        <w:t xml:space="preserve"> provides a guided experience for defining new ones that then become part of the curated list.</w:t>
      </w:r>
    </w:p>
    <w:p w14:paraId="4D3B1C80" w14:textId="77777777" w:rsidR="00A144B9" w:rsidRPr="00A144B9" w:rsidRDefault="00A144B9" w:rsidP="00A144B9"/>
    <w:p w14:paraId="6FC14798" w14:textId="77777777" w:rsidR="00A144B9" w:rsidRPr="00A144B9" w:rsidRDefault="00A144B9" w:rsidP="00A144B9">
      <w:r w:rsidRPr="00A144B9">
        <w:t xml:space="preserve">Note about </w:t>
      </w:r>
      <w:proofErr w:type="spellStart"/>
      <w:r w:rsidRPr="00A144B9">
        <w:t>ProductUnit</w:t>
      </w:r>
      <w:proofErr w:type="spellEnd"/>
      <w:r w:rsidRPr="00A144B9">
        <w:t xml:space="preserve"> and </w:t>
      </w:r>
      <w:proofErr w:type="spellStart"/>
      <w:r w:rsidRPr="00A144B9">
        <w:t>RatioUnit</w:t>
      </w:r>
      <w:proofErr w:type="spellEnd"/>
      <w:r w:rsidRPr="00A144B9">
        <w:t>: a single unit can end up being one or the other, so it’s not clear if these classes are helpful. For example:</w:t>
      </w:r>
    </w:p>
    <w:p w14:paraId="64E47E0A" w14:textId="77777777" w:rsidR="00A144B9" w:rsidRPr="00A144B9" w:rsidRDefault="00A144B9" w:rsidP="00A144B9"/>
    <w:p w14:paraId="2CC42E29" w14:textId="77777777" w:rsidR="00A144B9" w:rsidRPr="00A144B9" w:rsidRDefault="00A144B9" w:rsidP="00A144B9">
      <w:r w:rsidRPr="00A144B9">
        <w:t>(</w:t>
      </w:r>
      <w:proofErr w:type="gramStart"/>
      <w:r w:rsidRPr="00A144B9">
        <w:t>watt</w:t>
      </w:r>
      <w:proofErr w:type="gramEnd"/>
      <w:r w:rsidRPr="00A144B9">
        <w:t xml:space="preserve"> x hour)/mile = watt x (hour / mile)</w:t>
      </w:r>
    </w:p>
    <w:p w14:paraId="7D2B9D47" w14:textId="77777777" w:rsidR="00A144B9" w:rsidRPr="00A144B9" w:rsidRDefault="00A144B9" w:rsidP="00A144B9"/>
    <w:p w14:paraId="0D3DAA73" w14:textId="77777777" w:rsidR="00A144B9" w:rsidRPr="00A144B9" w:rsidRDefault="00A144B9" w:rsidP="00A144B9"/>
    <w:p w14:paraId="44F069CD" w14:textId="77777777" w:rsidR="00A144B9" w:rsidRPr="006631D8" w:rsidRDefault="00A144B9" w:rsidP="008A2F13"/>
    <w:p w14:paraId="73F5E4C8" w14:textId="338F23DB" w:rsidR="00ED7ACF" w:rsidRPr="00ED7ACF" w:rsidRDefault="00E72DF5" w:rsidP="00ED7ACF">
      <w:pPr>
        <w:pStyle w:val="Heading1"/>
        <w:rPr>
          <w:rFonts w:cstheme="majorHAnsi"/>
          <w:sz w:val="28"/>
          <w:szCs w:val="28"/>
        </w:rPr>
      </w:pPr>
      <w:bookmarkStart w:id="8" w:name="_Toc72740521"/>
      <w:r>
        <w:rPr>
          <w:rFonts w:cstheme="majorHAnsi"/>
          <w:sz w:val="28"/>
          <w:szCs w:val="28"/>
        </w:rPr>
        <w:t>C</w:t>
      </w:r>
      <w:r w:rsidR="00ED7ACF" w:rsidRPr="00ED7ACF">
        <w:rPr>
          <w:rFonts w:cstheme="majorHAnsi"/>
          <w:sz w:val="28"/>
          <w:szCs w:val="28"/>
        </w:rPr>
        <w:t>omparison with gist 9.6.0</w:t>
      </w:r>
      <w:bookmarkEnd w:id="8"/>
    </w:p>
    <w:p w14:paraId="74E0EB7B" w14:textId="77777777" w:rsidR="00ED7ACF" w:rsidRDefault="00ED7ACF"/>
    <w:p w14:paraId="49209361" w14:textId="6CCB1680" w:rsidR="00ED7ACF" w:rsidRDefault="00650DEF">
      <w:r>
        <w:t>Classes and properties:</w:t>
      </w:r>
    </w:p>
    <w:p w14:paraId="462B2F1A" w14:textId="101E2B80" w:rsidR="00650DEF" w:rsidRDefault="00650DEF"/>
    <w:p w14:paraId="70778CA9" w14:textId="382E177E" w:rsidR="00650DEF" w:rsidRDefault="00650DEF">
      <w:r w:rsidRPr="00650DEF">
        <w:rPr>
          <w:noProof/>
        </w:rPr>
        <w:drawing>
          <wp:inline distT="0" distB="0" distL="0" distR="0" wp14:anchorId="5B481483" wp14:editId="7E5AA227">
            <wp:extent cx="5706533" cy="35184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5789" cy="3524126"/>
                    </a:xfrm>
                    <a:prstGeom prst="rect">
                      <a:avLst/>
                    </a:prstGeom>
                  </pic:spPr>
                </pic:pic>
              </a:graphicData>
            </a:graphic>
          </wp:inline>
        </w:drawing>
      </w:r>
    </w:p>
    <w:p w14:paraId="2D4FEA42" w14:textId="77777777" w:rsidR="00650DEF" w:rsidRDefault="00650DEF"/>
    <w:p w14:paraId="274795BB" w14:textId="77777777" w:rsidR="00650DEF" w:rsidRDefault="00650DEF"/>
    <w:p w14:paraId="645588FB" w14:textId="071DE0DC" w:rsidR="00650DEF" w:rsidRDefault="00650DEF">
      <w:r>
        <w:t>It is expected that as an Enterprise includes more and more of its aspects in the data (</w:t>
      </w:r>
      <w:proofErr w:type="spellStart"/>
      <w:r>
        <w:t>abox</w:t>
      </w:r>
      <w:proofErr w:type="spellEnd"/>
      <w:r>
        <w:t xml:space="preserve">), it might want to group them into categories by creating subclasses of Aspect. While this taxonomy can vary from one Enterprise to another, it might include a natural split between </w:t>
      </w:r>
      <w:r>
        <w:lastRenderedPageBreak/>
        <w:t>business metrics and the quantities associated with products and services. An aspect can belong to more than one of the subclasses, providing a great deal of flexibility.</w:t>
      </w:r>
    </w:p>
    <w:p w14:paraId="1FAFEDF5" w14:textId="3B488C66" w:rsidR="00650DEF" w:rsidRDefault="00650DEF"/>
    <w:p w14:paraId="693EE7F7" w14:textId="22A8875E" w:rsidR="00650DEF" w:rsidRDefault="00650DEF">
      <w:r>
        <w:t xml:space="preserve">In comparison, in gist 9.6.0 it looks like a user would have to add two new subclasses every time a new aspect is introduced, one under Magnitude and another under Unit of Measure. </w:t>
      </w:r>
      <w:r w:rsidR="00FA4180">
        <w:t>The subclasses of Unit of Measure</w:t>
      </w:r>
      <w:r>
        <w:t xml:space="preserve"> could end up with only a handful of individuals.</w:t>
      </w:r>
    </w:p>
    <w:p w14:paraId="057FEA07" w14:textId="31FB3411" w:rsidR="00650DEF" w:rsidRDefault="00650DEF"/>
    <w:p w14:paraId="5E5A4B3A" w14:textId="77777777" w:rsidR="004249EC" w:rsidRDefault="004249EC" w:rsidP="004249EC">
      <w:r>
        <w:t>Use the Aspect class. This is especially important for business metrics and KPIs, where hundreds of different types of quantities are measured by only a few units of measure (</w:t>
      </w:r>
      <w:proofErr w:type="gramStart"/>
      <w:r>
        <w:t>e.g.</w:t>
      </w:r>
      <w:proofErr w:type="gramEnd"/>
      <w:r>
        <w:t xml:space="preserve"> cost to acquire a customer, value of a contract, net profit, etc. all measured in US Dollars). </w:t>
      </w:r>
    </w:p>
    <w:p w14:paraId="4904C962" w14:textId="77777777" w:rsidR="004249EC" w:rsidRDefault="004249EC" w:rsidP="004249EC"/>
    <w:p w14:paraId="57AEA238" w14:textId="77777777" w:rsidR="004249EC" w:rsidRDefault="004249EC" w:rsidP="004249EC"/>
    <w:p w14:paraId="61923494" w14:textId="77777777" w:rsidR="004249EC" w:rsidRPr="00BA4DA0" w:rsidRDefault="004249EC" w:rsidP="004249EC">
      <w:pPr>
        <w:ind w:left="720"/>
      </w:pPr>
      <w:r w:rsidRPr="00BA4DA0">
        <w:rPr>
          <w:noProof/>
        </w:rPr>
        <w:drawing>
          <wp:inline distT="0" distB="0" distL="0" distR="0" wp14:anchorId="1DAAA41C" wp14:editId="36669838">
            <wp:extent cx="5943600" cy="3300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300730"/>
                    </a:xfrm>
                    <a:prstGeom prst="rect">
                      <a:avLst/>
                    </a:prstGeom>
                  </pic:spPr>
                </pic:pic>
              </a:graphicData>
            </a:graphic>
          </wp:inline>
        </w:drawing>
      </w:r>
    </w:p>
    <w:p w14:paraId="40F803BB" w14:textId="77777777" w:rsidR="004249EC" w:rsidRDefault="004249EC" w:rsidP="004249EC"/>
    <w:p w14:paraId="05B40157" w14:textId="77777777" w:rsidR="004249EC" w:rsidRDefault="004249EC" w:rsidP="004249EC">
      <w:r>
        <w:t>Using Aspect reduces the number of classes a user needs to create to make sense of the data. There is no need to duplicate each “dimension” within subclasses of Magnitude and Unit of Measure (compare how the concept of area is modeled):</w:t>
      </w:r>
    </w:p>
    <w:p w14:paraId="65A4295D" w14:textId="77777777" w:rsidR="004249EC" w:rsidRDefault="004249EC" w:rsidP="004249EC"/>
    <w:p w14:paraId="65D3CEEB" w14:textId="77777777" w:rsidR="004249EC" w:rsidRDefault="004249EC" w:rsidP="004249EC">
      <w:pPr>
        <w:ind w:left="720"/>
      </w:pPr>
      <w:r w:rsidRPr="00BA4DA0">
        <w:rPr>
          <w:noProof/>
        </w:rPr>
        <w:lastRenderedPageBreak/>
        <w:drawing>
          <wp:inline distT="0" distB="0" distL="0" distR="0" wp14:anchorId="18EA7237" wp14:editId="752C6199">
            <wp:extent cx="5943600" cy="3291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291840"/>
                    </a:xfrm>
                    <a:prstGeom prst="rect">
                      <a:avLst/>
                    </a:prstGeom>
                  </pic:spPr>
                </pic:pic>
              </a:graphicData>
            </a:graphic>
          </wp:inline>
        </w:drawing>
      </w:r>
    </w:p>
    <w:p w14:paraId="09B5EA10" w14:textId="77777777" w:rsidR="004249EC" w:rsidRDefault="004249EC" w:rsidP="004249EC"/>
    <w:p w14:paraId="22E10F60" w14:textId="77777777" w:rsidR="004249EC" w:rsidRDefault="004249EC" w:rsidP="004249EC">
      <w:r>
        <w:t>There is a single simple method of doing unit conversions, with simple rules, and a way to ensure that a unit is physically meaningful to prevent comparing “apples to oranges”.</w:t>
      </w:r>
    </w:p>
    <w:p w14:paraId="2F17AC1E" w14:textId="77777777" w:rsidR="004249EC" w:rsidRDefault="004249EC" w:rsidP="004249EC"/>
    <w:p w14:paraId="3A32D75C" w14:textId="77777777" w:rsidR="004249EC" w:rsidRDefault="004249EC" w:rsidP="004249EC"/>
    <w:p w14:paraId="4B7CC3CE" w14:textId="77777777" w:rsidR="004249EC" w:rsidRDefault="004249EC" w:rsidP="004249EC">
      <w:pPr>
        <w:ind w:left="720"/>
      </w:pPr>
      <w:r w:rsidRPr="004510B2">
        <w:rPr>
          <w:noProof/>
        </w:rPr>
        <w:drawing>
          <wp:inline distT="0" distB="0" distL="0" distR="0" wp14:anchorId="42A91E92" wp14:editId="6D06A7C5">
            <wp:extent cx="5943600" cy="3154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154680"/>
                    </a:xfrm>
                    <a:prstGeom prst="rect">
                      <a:avLst/>
                    </a:prstGeom>
                  </pic:spPr>
                </pic:pic>
              </a:graphicData>
            </a:graphic>
          </wp:inline>
        </w:drawing>
      </w:r>
    </w:p>
    <w:p w14:paraId="0C709872" w14:textId="77777777" w:rsidR="004249EC" w:rsidRDefault="004249EC" w:rsidP="004249EC"/>
    <w:p w14:paraId="56950263" w14:textId="77777777" w:rsidR="004249EC" w:rsidRDefault="004249EC" w:rsidP="004249EC">
      <w:r>
        <w:t>If unit decompositions are needed, the method in the International System of Units should be used (factor as a product of powers), which gives a unique decomposition (modulo commutativity) and supports fractional exponents.</w:t>
      </w:r>
    </w:p>
    <w:p w14:paraId="2D8979EA" w14:textId="77777777" w:rsidR="004249EC" w:rsidRDefault="004249EC" w:rsidP="004249EC"/>
    <w:p w14:paraId="0E16D9B5" w14:textId="77777777" w:rsidR="004249EC" w:rsidRDefault="004249EC" w:rsidP="004249EC">
      <w:pPr>
        <w:ind w:left="720"/>
      </w:pPr>
      <w:r w:rsidRPr="00E72DF5">
        <w:rPr>
          <w:noProof/>
        </w:rPr>
        <w:drawing>
          <wp:inline distT="0" distB="0" distL="0" distR="0" wp14:anchorId="335F1D83" wp14:editId="62FC089F">
            <wp:extent cx="5621867" cy="22889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30991" cy="2292704"/>
                    </a:xfrm>
                    <a:prstGeom prst="rect">
                      <a:avLst/>
                    </a:prstGeom>
                  </pic:spPr>
                </pic:pic>
              </a:graphicData>
            </a:graphic>
          </wp:inline>
        </w:drawing>
      </w:r>
    </w:p>
    <w:p w14:paraId="0D094333" w14:textId="77777777" w:rsidR="004249EC" w:rsidRDefault="004249EC"/>
    <w:p w14:paraId="7775CB5D" w14:textId="7D0797D5" w:rsidR="006329BB" w:rsidRDefault="006329BB"/>
    <w:p w14:paraId="2758B9B2" w14:textId="25833043" w:rsidR="006329BB" w:rsidRDefault="006329BB">
      <w:r>
        <w:t>Perhaps a more detailed comparison is possible, but it looks like there is a choice between a simple ontology that works and a more complex one that has some short</w:t>
      </w:r>
      <w:r w:rsidR="00D01081">
        <w:t>coming</w:t>
      </w:r>
      <w:r>
        <w:t>s.</w:t>
      </w:r>
    </w:p>
    <w:p w14:paraId="6D222511" w14:textId="020FB50C" w:rsidR="006365FC" w:rsidRDefault="006365FC" w:rsidP="00D01081"/>
    <w:sectPr w:rsidR="006365FC">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3FD9B" w14:textId="77777777" w:rsidR="00D7224B" w:rsidRDefault="00D7224B" w:rsidP="003A0EA4">
      <w:r>
        <w:separator/>
      </w:r>
    </w:p>
  </w:endnote>
  <w:endnote w:type="continuationSeparator" w:id="0">
    <w:p w14:paraId="7999CAAE" w14:textId="77777777" w:rsidR="00D7224B" w:rsidRDefault="00D7224B" w:rsidP="003A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6150215"/>
      <w:docPartObj>
        <w:docPartGallery w:val="Page Numbers (Bottom of Page)"/>
        <w:docPartUnique/>
      </w:docPartObj>
    </w:sdtPr>
    <w:sdtEndPr>
      <w:rPr>
        <w:rStyle w:val="PageNumber"/>
      </w:rPr>
    </w:sdtEndPr>
    <w:sdtContent>
      <w:p w14:paraId="058E45FF" w14:textId="6C41D595" w:rsidR="005F1C7F" w:rsidRDefault="005F1C7F" w:rsidP="001C4E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F31C37" w14:textId="77777777" w:rsidR="005F1C7F" w:rsidRDefault="005F1C7F" w:rsidP="003A0E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377315"/>
      <w:docPartObj>
        <w:docPartGallery w:val="Page Numbers (Bottom of Page)"/>
        <w:docPartUnique/>
      </w:docPartObj>
    </w:sdtPr>
    <w:sdtEndPr>
      <w:rPr>
        <w:rStyle w:val="PageNumber"/>
      </w:rPr>
    </w:sdtEndPr>
    <w:sdtContent>
      <w:p w14:paraId="3E3442B1" w14:textId="0AC705BA" w:rsidR="005F1C7F" w:rsidRDefault="005F1C7F" w:rsidP="001C4E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833FD2" w14:textId="77777777" w:rsidR="005F1C7F" w:rsidRDefault="005F1C7F" w:rsidP="003A0E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9F777" w14:textId="77777777" w:rsidR="00D7224B" w:rsidRDefault="00D7224B" w:rsidP="003A0EA4">
      <w:r>
        <w:separator/>
      </w:r>
    </w:p>
  </w:footnote>
  <w:footnote w:type="continuationSeparator" w:id="0">
    <w:p w14:paraId="3F8087D2" w14:textId="77777777" w:rsidR="00D7224B" w:rsidRDefault="00D7224B" w:rsidP="003A0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2269A"/>
    <w:multiLevelType w:val="hybridMultilevel"/>
    <w:tmpl w:val="4668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C218B"/>
    <w:multiLevelType w:val="hybridMultilevel"/>
    <w:tmpl w:val="31D2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8356F"/>
    <w:multiLevelType w:val="hybridMultilevel"/>
    <w:tmpl w:val="5A529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E3FE4"/>
    <w:multiLevelType w:val="hybridMultilevel"/>
    <w:tmpl w:val="86A6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97162"/>
    <w:multiLevelType w:val="hybridMultilevel"/>
    <w:tmpl w:val="0CF2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A5273"/>
    <w:multiLevelType w:val="hybridMultilevel"/>
    <w:tmpl w:val="73DAE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66064"/>
    <w:multiLevelType w:val="hybridMultilevel"/>
    <w:tmpl w:val="2E0A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D56FC"/>
    <w:multiLevelType w:val="hybridMultilevel"/>
    <w:tmpl w:val="82D82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AD3AE4"/>
    <w:multiLevelType w:val="hybridMultilevel"/>
    <w:tmpl w:val="F9EA36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26850"/>
    <w:multiLevelType w:val="hybridMultilevel"/>
    <w:tmpl w:val="1588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6"/>
  </w:num>
  <w:num w:numId="5">
    <w:abstractNumId w:val="1"/>
  </w:num>
  <w:num w:numId="6">
    <w:abstractNumId w:val="2"/>
  </w:num>
  <w:num w:numId="7">
    <w:abstractNumId w:val="5"/>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76"/>
    <w:rsid w:val="000008FF"/>
    <w:rsid w:val="00001AC3"/>
    <w:rsid w:val="00010E7B"/>
    <w:rsid w:val="00012C9E"/>
    <w:rsid w:val="00013242"/>
    <w:rsid w:val="00020A09"/>
    <w:rsid w:val="00031A57"/>
    <w:rsid w:val="000337A2"/>
    <w:rsid w:val="00046337"/>
    <w:rsid w:val="000469E6"/>
    <w:rsid w:val="00051BA4"/>
    <w:rsid w:val="00065C9C"/>
    <w:rsid w:val="000668D2"/>
    <w:rsid w:val="00076635"/>
    <w:rsid w:val="00077C1D"/>
    <w:rsid w:val="000813A4"/>
    <w:rsid w:val="00082525"/>
    <w:rsid w:val="00083950"/>
    <w:rsid w:val="00085044"/>
    <w:rsid w:val="00087E01"/>
    <w:rsid w:val="000A0A63"/>
    <w:rsid w:val="000A0ADA"/>
    <w:rsid w:val="000A4EAA"/>
    <w:rsid w:val="000A7E8B"/>
    <w:rsid w:val="000B1AB5"/>
    <w:rsid w:val="000C01C6"/>
    <w:rsid w:val="000C4CAF"/>
    <w:rsid w:val="000D0075"/>
    <w:rsid w:val="000D2C64"/>
    <w:rsid w:val="000D7723"/>
    <w:rsid w:val="000E28FB"/>
    <w:rsid w:val="000E5338"/>
    <w:rsid w:val="000F6496"/>
    <w:rsid w:val="000F76D8"/>
    <w:rsid w:val="0010066F"/>
    <w:rsid w:val="00111C74"/>
    <w:rsid w:val="001136A2"/>
    <w:rsid w:val="00115205"/>
    <w:rsid w:val="00126040"/>
    <w:rsid w:val="001428FE"/>
    <w:rsid w:val="0014329A"/>
    <w:rsid w:val="0015515F"/>
    <w:rsid w:val="001576E8"/>
    <w:rsid w:val="0016633F"/>
    <w:rsid w:val="0017528C"/>
    <w:rsid w:val="00177420"/>
    <w:rsid w:val="0017798D"/>
    <w:rsid w:val="00180E39"/>
    <w:rsid w:val="00185D93"/>
    <w:rsid w:val="00187C69"/>
    <w:rsid w:val="00191ABA"/>
    <w:rsid w:val="00195030"/>
    <w:rsid w:val="001A1AC4"/>
    <w:rsid w:val="001A29C1"/>
    <w:rsid w:val="001A300B"/>
    <w:rsid w:val="001A4CF4"/>
    <w:rsid w:val="001B172B"/>
    <w:rsid w:val="001B23A1"/>
    <w:rsid w:val="001B3EF0"/>
    <w:rsid w:val="001C25E5"/>
    <w:rsid w:val="001C4E1D"/>
    <w:rsid w:val="001C5A81"/>
    <w:rsid w:val="001E2523"/>
    <w:rsid w:val="001E398B"/>
    <w:rsid w:val="001E7478"/>
    <w:rsid w:val="001F1CEA"/>
    <w:rsid w:val="001F2842"/>
    <w:rsid w:val="001F7B60"/>
    <w:rsid w:val="0020032D"/>
    <w:rsid w:val="00200EAA"/>
    <w:rsid w:val="00201F64"/>
    <w:rsid w:val="002038FD"/>
    <w:rsid w:val="00205694"/>
    <w:rsid w:val="00210366"/>
    <w:rsid w:val="002137B1"/>
    <w:rsid w:val="00222372"/>
    <w:rsid w:val="00225DFB"/>
    <w:rsid w:val="00233CB8"/>
    <w:rsid w:val="002352A7"/>
    <w:rsid w:val="00236923"/>
    <w:rsid w:val="0024014A"/>
    <w:rsid w:val="00243F31"/>
    <w:rsid w:val="0025247E"/>
    <w:rsid w:val="002628E1"/>
    <w:rsid w:val="00262C28"/>
    <w:rsid w:val="00262F06"/>
    <w:rsid w:val="0027679A"/>
    <w:rsid w:val="002773AB"/>
    <w:rsid w:val="00287112"/>
    <w:rsid w:val="0029228B"/>
    <w:rsid w:val="00294F86"/>
    <w:rsid w:val="002A3E7A"/>
    <w:rsid w:val="002B118B"/>
    <w:rsid w:val="002B3476"/>
    <w:rsid w:val="002B7E7B"/>
    <w:rsid w:val="002C11B7"/>
    <w:rsid w:val="002D2264"/>
    <w:rsid w:val="002D7B6F"/>
    <w:rsid w:val="002E56E8"/>
    <w:rsid w:val="002E7A4D"/>
    <w:rsid w:val="002F1952"/>
    <w:rsid w:val="002F48FD"/>
    <w:rsid w:val="00302B67"/>
    <w:rsid w:val="00315EB2"/>
    <w:rsid w:val="00335164"/>
    <w:rsid w:val="0033712D"/>
    <w:rsid w:val="00340A89"/>
    <w:rsid w:val="00351EC2"/>
    <w:rsid w:val="003624F5"/>
    <w:rsid w:val="003732DD"/>
    <w:rsid w:val="00381158"/>
    <w:rsid w:val="0038309A"/>
    <w:rsid w:val="00385560"/>
    <w:rsid w:val="00393096"/>
    <w:rsid w:val="00395AC9"/>
    <w:rsid w:val="00396D13"/>
    <w:rsid w:val="003A021F"/>
    <w:rsid w:val="003A0EA4"/>
    <w:rsid w:val="003A7CE2"/>
    <w:rsid w:val="003B47BE"/>
    <w:rsid w:val="003C09CE"/>
    <w:rsid w:val="003C35B9"/>
    <w:rsid w:val="003D50FF"/>
    <w:rsid w:val="003E28E2"/>
    <w:rsid w:val="003F0E7C"/>
    <w:rsid w:val="00401889"/>
    <w:rsid w:val="0040731D"/>
    <w:rsid w:val="004237E5"/>
    <w:rsid w:val="004249EC"/>
    <w:rsid w:val="00431E82"/>
    <w:rsid w:val="00437754"/>
    <w:rsid w:val="0044033D"/>
    <w:rsid w:val="004510B2"/>
    <w:rsid w:val="00453B51"/>
    <w:rsid w:val="00456937"/>
    <w:rsid w:val="00456B94"/>
    <w:rsid w:val="00457CF9"/>
    <w:rsid w:val="00460631"/>
    <w:rsid w:val="0046195D"/>
    <w:rsid w:val="0047004C"/>
    <w:rsid w:val="00470632"/>
    <w:rsid w:val="004810DB"/>
    <w:rsid w:val="004834B5"/>
    <w:rsid w:val="00485BD0"/>
    <w:rsid w:val="00487D32"/>
    <w:rsid w:val="00487E1E"/>
    <w:rsid w:val="004B73CD"/>
    <w:rsid w:val="004C3D6C"/>
    <w:rsid w:val="004E3AD9"/>
    <w:rsid w:val="004E52A9"/>
    <w:rsid w:val="004F4943"/>
    <w:rsid w:val="004F5D79"/>
    <w:rsid w:val="004F6AE0"/>
    <w:rsid w:val="00500F8C"/>
    <w:rsid w:val="0050596C"/>
    <w:rsid w:val="00506970"/>
    <w:rsid w:val="00510E26"/>
    <w:rsid w:val="005168F2"/>
    <w:rsid w:val="005256C3"/>
    <w:rsid w:val="00525928"/>
    <w:rsid w:val="005321C2"/>
    <w:rsid w:val="0053350C"/>
    <w:rsid w:val="005346F9"/>
    <w:rsid w:val="00536F3C"/>
    <w:rsid w:val="00537D56"/>
    <w:rsid w:val="00543A8D"/>
    <w:rsid w:val="005453F6"/>
    <w:rsid w:val="00552B36"/>
    <w:rsid w:val="0057512B"/>
    <w:rsid w:val="005849E1"/>
    <w:rsid w:val="00585918"/>
    <w:rsid w:val="0058592F"/>
    <w:rsid w:val="0058645A"/>
    <w:rsid w:val="005C39EC"/>
    <w:rsid w:val="005C5788"/>
    <w:rsid w:val="005D1BC5"/>
    <w:rsid w:val="005D71BE"/>
    <w:rsid w:val="005E0D75"/>
    <w:rsid w:val="005E4EC5"/>
    <w:rsid w:val="005F1C7F"/>
    <w:rsid w:val="005F3B6D"/>
    <w:rsid w:val="005F571E"/>
    <w:rsid w:val="005F67DD"/>
    <w:rsid w:val="00606BCE"/>
    <w:rsid w:val="0061055F"/>
    <w:rsid w:val="00615FED"/>
    <w:rsid w:val="006170AC"/>
    <w:rsid w:val="00625D06"/>
    <w:rsid w:val="006329BB"/>
    <w:rsid w:val="006365FC"/>
    <w:rsid w:val="00637091"/>
    <w:rsid w:val="0064754E"/>
    <w:rsid w:val="00650DEF"/>
    <w:rsid w:val="00651A72"/>
    <w:rsid w:val="006631D8"/>
    <w:rsid w:val="00666469"/>
    <w:rsid w:val="006726C8"/>
    <w:rsid w:val="00673D36"/>
    <w:rsid w:val="00682A9E"/>
    <w:rsid w:val="00682F3D"/>
    <w:rsid w:val="0068608F"/>
    <w:rsid w:val="006A214A"/>
    <w:rsid w:val="006A3BBC"/>
    <w:rsid w:val="006A597B"/>
    <w:rsid w:val="006A5A1B"/>
    <w:rsid w:val="006A65C2"/>
    <w:rsid w:val="006B1667"/>
    <w:rsid w:val="006B27C9"/>
    <w:rsid w:val="006B2AA4"/>
    <w:rsid w:val="006B3A50"/>
    <w:rsid w:val="006B422A"/>
    <w:rsid w:val="006B6ED2"/>
    <w:rsid w:val="006C1CF9"/>
    <w:rsid w:val="006D2D04"/>
    <w:rsid w:val="006E364D"/>
    <w:rsid w:val="006F33C1"/>
    <w:rsid w:val="00703A79"/>
    <w:rsid w:val="007052B0"/>
    <w:rsid w:val="007054E8"/>
    <w:rsid w:val="007206F6"/>
    <w:rsid w:val="00721E65"/>
    <w:rsid w:val="007237D2"/>
    <w:rsid w:val="0072537F"/>
    <w:rsid w:val="00727390"/>
    <w:rsid w:val="0073052A"/>
    <w:rsid w:val="00733402"/>
    <w:rsid w:val="00733BD6"/>
    <w:rsid w:val="00736FCB"/>
    <w:rsid w:val="0075081B"/>
    <w:rsid w:val="00755F82"/>
    <w:rsid w:val="00756137"/>
    <w:rsid w:val="00757A98"/>
    <w:rsid w:val="00761CC9"/>
    <w:rsid w:val="007777DE"/>
    <w:rsid w:val="007826F6"/>
    <w:rsid w:val="007944E7"/>
    <w:rsid w:val="00796CC1"/>
    <w:rsid w:val="007A255C"/>
    <w:rsid w:val="007A5B69"/>
    <w:rsid w:val="007A7DBF"/>
    <w:rsid w:val="007B0BBE"/>
    <w:rsid w:val="007D3E98"/>
    <w:rsid w:val="007E7773"/>
    <w:rsid w:val="007E7C45"/>
    <w:rsid w:val="007F494C"/>
    <w:rsid w:val="007F5761"/>
    <w:rsid w:val="007F6E41"/>
    <w:rsid w:val="0080718C"/>
    <w:rsid w:val="008104A8"/>
    <w:rsid w:val="00811694"/>
    <w:rsid w:val="00820100"/>
    <w:rsid w:val="00827563"/>
    <w:rsid w:val="00831978"/>
    <w:rsid w:val="008405AC"/>
    <w:rsid w:val="008416BF"/>
    <w:rsid w:val="00847F90"/>
    <w:rsid w:val="00852887"/>
    <w:rsid w:val="008533FD"/>
    <w:rsid w:val="00855915"/>
    <w:rsid w:val="00857C02"/>
    <w:rsid w:val="0086547D"/>
    <w:rsid w:val="008724B7"/>
    <w:rsid w:val="008818B4"/>
    <w:rsid w:val="00882E2F"/>
    <w:rsid w:val="00887FDB"/>
    <w:rsid w:val="00894369"/>
    <w:rsid w:val="00896811"/>
    <w:rsid w:val="008A2C0F"/>
    <w:rsid w:val="008A2F13"/>
    <w:rsid w:val="008A7B76"/>
    <w:rsid w:val="008B0990"/>
    <w:rsid w:val="008B1CB5"/>
    <w:rsid w:val="008B3E43"/>
    <w:rsid w:val="008B7EE9"/>
    <w:rsid w:val="008C0423"/>
    <w:rsid w:val="008C6ACE"/>
    <w:rsid w:val="008E09FC"/>
    <w:rsid w:val="008F1A1F"/>
    <w:rsid w:val="008F7089"/>
    <w:rsid w:val="00905127"/>
    <w:rsid w:val="00913CDD"/>
    <w:rsid w:val="00913E70"/>
    <w:rsid w:val="009140A7"/>
    <w:rsid w:val="0092690F"/>
    <w:rsid w:val="00936B6E"/>
    <w:rsid w:val="00937DCA"/>
    <w:rsid w:val="009466B6"/>
    <w:rsid w:val="00946BDD"/>
    <w:rsid w:val="00947F06"/>
    <w:rsid w:val="0095065E"/>
    <w:rsid w:val="0095166C"/>
    <w:rsid w:val="00960817"/>
    <w:rsid w:val="009751FF"/>
    <w:rsid w:val="00975308"/>
    <w:rsid w:val="00984C92"/>
    <w:rsid w:val="00984D22"/>
    <w:rsid w:val="009903AA"/>
    <w:rsid w:val="009951E4"/>
    <w:rsid w:val="00995CE7"/>
    <w:rsid w:val="009A5348"/>
    <w:rsid w:val="009A7265"/>
    <w:rsid w:val="009B0B4D"/>
    <w:rsid w:val="009B6041"/>
    <w:rsid w:val="009C1CAC"/>
    <w:rsid w:val="009C2A9C"/>
    <w:rsid w:val="009C35ED"/>
    <w:rsid w:val="009C7C3B"/>
    <w:rsid w:val="009E1A2B"/>
    <w:rsid w:val="009E1CA7"/>
    <w:rsid w:val="009F0167"/>
    <w:rsid w:val="00A02572"/>
    <w:rsid w:val="00A144B9"/>
    <w:rsid w:val="00A244C3"/>
    <w:rsid w:val="00A30EF3"/>
    <w:rsid w:val="00A36EC7"/>
    <w:rsid w:val="00A44D7A"/>
    <w:rsid w:val="00A47DB9"/>
    <w:rsid w:val="00A601B6"/>
    <w:rsid w:val="00A63DD9"/>
    <w:rsid w:val="00A66929"/>
    <w:rsid w:val="00A74D53"/>
    <w:rsid w:val="00A81ABD"/>
    <w:rsid w:val="00A90362"/>
    <w:rsid w:val="00A93CC9"/>
    <w:rsid w:val="00AA11B1"/>
    <w:rsid w:val="00AA444F"/>
    <w:rsid w:val="00AA60A6"/>
    <w:rsid w:val="00AB1C57"/>
    <w:rsid w:val="00AB4C3B"/>
    <w:rsid w:val="00AB54B1"/>
    <w:rsid w:val="00AB61FA"/>
    <w:rsid w:val="00AB7169"/>
    <w:rsid w:val="00AC0EED"/>
    <w:rsid w:val="00AC574B"/>
    <w:rsid w:val="00AD0FD9"/>
    <w:rsid w:val="00AD2C85"/>
    <w:rsid w:val="00AD4F7C"/>
    <w:rsid w:val="00AD7EFD"/>
    <w:rsid w:val="00AE3D9E"/>
    <w:rsid w:val="00AF7C7B"/>
    <w:rsid w:val="00B01BB2"/>
    <w:rsid w:val="00B15C35"/>
    <w:rsid w:val="00B17E16"/>
    <w:rsid w:val="00B23B33"/>
    <w:rsid w:val="00B34C30"/>
    <w:rsid w:val="00B36D88"/>
    <w:rsid w:val="00B53690"/>
    <w:rsid w:val="00B62DB5"/>
    <w:rsid w:val="00B677E5"/>
    <w:rsid w:val="00B82FAB"/>
    <w:rsid w:val="00B87439"/>
    <w:rsid w:val="00B90C13"/>
    <w:rsid w:val="00B93A5F"/>
    <w:rsid w:val="00B9602F"/>
    <w:rsid w:val="00BA0113"/>
    <w:rsid w:val="00BA11E3"/>
    <w:rsid w:val="00BA2FA6"/>
    <w:rsid w:val="00BA4DA0"/>
    <w:rsid w:val="00BA7F56"/>
    <w:rsid w:val="00BB1806"/>
    <w:rsid w:val="00BB50CE"/>
    <w:rsid w:val="00BB5962"/>
    <w:rsid w:val="00BB6CF7"/>
    <w:rsid w:val="00BC150D"/>
    <w:rsid w:val="00BE4013"/>
    <w:rsid w:val="00BE4557"/>
    <w:rsid w:val="00C03B90"/>
    <w:rsid w:val="00C06392"/>
    <w:rsid w:val="00C063B4"/>
    <w:rsid w:val="00C06DAA"/>
    <w:rsid w:val="00C11FD4"/>
    <w:rsid w:val="00C202C4"/>
    <w:rsid w:val="00C20908"/>
    <w:rsid w:val="00C21A0F"/>
    <w:rsid w:val="00C229BE"/>
    <w:rsid w:val="00C32D4F"/>
    <w:rsid w:val="00C37B72"/>
    <w:rsid w:val="00C47919"/>
    <w:rsid w:val="00C55AA9"/>
    <w:rsid w:val="00C57C15"/>
    <w:rsid w:val="00C623A1"/>
    <w:rsid w:val="00C667C6"/>
    <w:rsid w:val="00C77C83"/>
    <w:rsid w:val="00C84A21"/>
    <w:rsid w:val="00C87952"/>
    <w:rsid w:val="00C912DC"/>
    <w:rsid w:val="00C95401"/>
    <w:rsid w:val="00CA1883"/>
    <w:rsid w:val="00CA2D95"/>
    <w:rsid w:val="00CA5859"/>
    <w:rsid w:val="00CB00F1"/>
    <w:rsid w:val="00CB0133"/>
    <w:rsid w:val="00CB03C2"/>
    <w:rsid w:val="00CB230C"/>
    <w:rsid w:val="00CB68F3"/>
    <w:rsid w:val="00CC13CF"/>
    <w:rsid w:val="00CC46C6"/>
    <w:rsid w:val="00CC6B20"/>
    <w:rsid w:val="00CC6EFE"/>
    <w:rsid w:val="00CD265E"/>
    <w:rsid w:val="00CE155E"/>
    <w:rsid w:val="00CE6F39"/>
    <w:rsid w:val="00CF079D"/>
    <w:rsid w:val="00CF1225"/>
    <w:rsid w:val="00CF7EF5"/>
    <w:rsid w:val="00D01081"/>
    <w:rsid w:val="00D02FA9"/>
    <w:rsid w:val="00D1036B"/>
    <w:rsid w:val="00D13AA7"/>
    <w:rsid w:val="00D23185"/>
    <w:rsid w:val="00D239FB"/>
    <w:rsid w:val="00D26949"/>
    <w:rsid w:val="00D27C2B"/>
    <w:rsid w:val="00D37548"/>
    <w:rsid w:val="00D37708"/>
    <w:rsid w:val="00D4020D"/>
    <w:rsid w:val="00D50FE1"/>
    <w:rsid w:val="00D54DE7"/>
    <w:rsid w:val="00D63B58"/>
    <w:rsid w:val="00D7224B"/>
    <w:rsid w:val="00D72618"/>
    <w:rsid w:val="00D855EC"/>
    <w:rsid w:val="00D93A91"/>
    <w:rsid w:val="00DA189C"/>
    <w:rsid w:val="00DA1A8E"/>
    <w:rsid w:val="00DA50B8"/>
    <w:rsid w:val="00DA556D"/>
    <w:rsid w:val="00DB400D"/>
    <w:rsid w:val="00DD3318"/>
    <w:rsid w:val="00DD7DE8"/>
    <w:rsid w:val="00DE12A5"/>
    <w:rsid w:val="00DE313E"/>
    <w:rsid w:val="00DE733F"/>
    <w:rsid w:val="00DF05CD"/>
    <w:rsid w:val="00DF0C2A"/>
    <w:rsid w:val="00DF34C0"/>
    <w:rsid w:val="00DF68C2"/>
    <w:rsid w:val="00E01557"/>
    <w:rsid w:val="00E040C2"/>
    <w:rsid w:val="00E05A6C"/>
    <w:rsid w:val="00E152B0"/>
    <w:rsid w:val="00E20EB8"/>
    <w:rsid w:val="00E26528"/>
    <w:rsid w:val="00E36556"/>
    <w:rsid w:val="00E37048"/>
    <w:rsid w:val="00E37C45"/>
    <w:rsid w:val="00E402A3"/>
    <w:rsid w:val="00E560CC"/>
    <w:rsid w:val="00E607EE"/>
    <w:rsid w:val="00E61089"/>
    <w:rsid w:val="00E620C5"/>
    <w:rsid w:val="00E677E7"/>
    <w:rsid w:val="00E72DF5"/>
    <w:rsid w:val="00E73806"/>
    <w:rsid w:val="00E76624"/>
    <w:rsid w:val="00E9083D"/>
    <w:rsid w:val="00E97E00"/>
    <w:rsid w:val="00EA2C44"/>
    <w:rsid w:val="00EA5F07"/>
    <w:rsid w:val="00EA7359"/>
    <w:rsid w:val="00EB6A53"/>
    <w:rsid w:val="00EC24F0"/>
    <w:rsid w:val="00ED7ACF"/>
    <w:rsid w:val="00EE38D1"/>
    <w:rsid w:val="00EF16A3"/>
    <w:rsid w:val="00EF5C13"/>
    <w:rsid w:val="00F039BE"/>
    <w:rsid w:val="00F05956"/>
    <w:rsid w:val="00F131BD"/>
    <w:rsid w:val="00F17B77"/>
    <w:rsid w:val="00F22821"/>
    <w:rsid w:val="00F22D4E"/>
    <w:rsid w:val="00F23B19"/>
    <w:rsid w:val="00F278E2"/>
    <w:rsid w:val="00F37681"/>
    <w:rsid w:val="00F37E0C"/>
    <w:rsid w:val="00F37E82"/>
    <w:rsid w:val="00F40202"/>
    <w:rsid w:val="00F50176"/>
    <w:rsid w:val="00F5209E"/>
    <w:rsid w:val="00F5314C"/>
    <w:rsid w:val="00F55C8F"/>
    <w:rsid w:val="00F57623"/>
    <w:rsid w:val="00F60BE6"/>
    <w:rsid w:val="00F6350C"/>
    <w:rsid w:val="00F6440A"/>
    <w:rsid w:val="00F75C6B"/>
    <w:rsid w:val="00F84510"/>
    <w:rsid w:val="00F85139"/>
    <w:rsid w:val="00F87DC9"/>
    <w:rsid w:val="00F9643A"/>
    <w:rsid w:val="00FA4180"/>
    <w:rsid w:val="00FB256A"/>
    <w:rsid w:val="00FB6036"/>
    <w:rsid w:val="00FC2EAC"/>
    <w:rsid w:val="00FC312D"/>
    <w:rsid w:val="00FC65AC"/>
    <w:rsid w:val="00FC7A4B"/>
    <w:rsid w:val="00FD0415"/>
    <w:rsid w:val="00FD0D78"/>
    <w:rsid w:val="00FD1DCE"/>
    <w:rsid w:val="00FD51BB"/>
    <w:rsid w:val="00FD5905"/>
    <w:rsid w:val="00FD6AB2"/>
    <w:rsid w:val="00FE04C7"/>
    <w:rsid w:val="00FE16C2"/>
    <w:rsid w:val="00FF079B"/>
    <w:rsid w:val="00FF081E"/>
    <w:rsid w:val="00FF1EB5"/>
    <w:rsid w:val="00FF49D0"/>
    <w:rsid w:val="00FF4AE2"/>
    <w:rsid w:val="00FF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1EE8C6"/>
  <w15:chartTrackingRefBased/>
  <w15:docId w15:val="{3D8DEA23-95CC-9645-A18F-85F21544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6BF"/>
  </w:style>
  <w:style w:type="paragraph" w:styleId="Heading1">
    <w:name w:val="heading 1"/>
    <w:basedOn w:val="Normal"/>
    <w:next w:val="Normal"/>
    <w:link w:val="Heading1Char"/>
    <w:uiPriority w:val="9"/>
    <w:qFormat/>
    <w:rsid w:val="00ED7A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0EA4"/>
    <w:pPr>
      <w:tabs>
        <w:tab w:val="center" w:pos="4680"/>
        <w:tab w:val="right" w:pos="9360"/>
      </w:tabs>
    </w:pPr>
  </w:style>
  <w:style w:type="character" w:customStyle="1" w:styleId="FooterChar">
    <w:name w:val="Footer Char"/>
    <w:basedOn w:val="DefaultParagraphFont"/>
    <w:link w:val="Footer"/>
    <w:uiPriority w:val="99"/>
    <w:rsid w:val="003A0EA4"/>
  </w:style>
  <w:style w:type="character" w:styleId="PageNumber">
    <w:name w:val="page number"/>
    <w:basedOn w:val="DefaultParagraphFont"/>
    <w:uiPriority w:val="99"/>
    <w:semiHidden/>
    <w:unhideWhenUsed/>
    <w:rsid w:val="003A0EA4"/>
  </w:style>
  <w:style w:type="paragraph" w:styleId="ListParagraph">
    <w:name w:val="List Paragraph"/>
    <w:basedOn w:val="Normal"/>
    <w:uiPriority w:val="34"/>
    <w:qFormat/>
    <w:rsid w:val="003C35B9"/>
    <w:pPr>
      <w:ind w:left="720"/>
      <w:contextualSpacing/>
    </w:pPr>
  </w:style>
  <w:style w:type="character" w:styleId="Hyperlink">
    <w:name w:val="Hyperlink"/>
    <w:basedOn w:val="DefaultParagraphFont"/>
    <w:uiPriority w:val="99"/>
    <w:unhideWhenUsed/>
    <w:rsid w:val="00D23185"/>
    <w:rPr>
      <w:color w:val="0563C1" w:themeColor="hyperlink"/>
      <w:u w:val="single"/>
    </w:rPr>
  </w:style>
  <w:style w:type="character" w:styleId="UnresolvedMention">
    <w:name w:val="Unresolved Mention"/>
    <w:basedOn w:val="DefaultParagraphFont"/>
    <w:uiPriority w:val="99"/>
    <w:semiHidden/>
    <w:unhideWhenUsed/>
    <w:rsid w:val="00D23185"/>
    <w:rPr>
      <w:color w:val="605E5C"/>
      <w:shd w:val="clear" w:color="auto" w:fill="E1DFDD"/>
    </w:rPr>
  </w:style>
  <w:style w:type="table" w:styleId="TableGrid">
    <w:name w:val="Table Grid"/>
    <w:basedOn w:val="TableNormal"/>
    <w:uiPriority w:val="39"/>
    <w:rsid w:val="0026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2628E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1E2523"/>
    <w:rPr>
      <w:color w:val="954F72" w:themeColor="followedHyperlink"/>
      <w:u w:val="single"/>
    </w:rPr>
  </w:style>
  <w:style w:type="paragraph" w:styleId="NormalWeb">
    <w:name w:val="Normal (Web)"/>
    <w:basedOn w:val="Normal"/>
    <w:uiPriority w:val="99"/>
    <w:semiHidden/>
    <w:unhideWhenUsed/>
    <w:rsid w:val="00FE16C2"/>
    <w:rPr>
      <w:rFonts w:ascii="Times New Roman" w:hAnsi="Times New Roman" w:cs="Times New Roman"/>
    </w:rPr>
  </w:style>
  <w:style w:type="character" w:customStyle="1" w:styleId="Heading1Char">
    <w:name w:val="Heading 1 Char"/>
    <w:basedOn w:val="DefaultParagraphFont"/>
    <w:link w:val="Heading1"/>
    <w:uiPriority w:val="9"/>
    <w:rsid w:val="00ED7AC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D7ACF"/>
    <w:pPr>
      <w:spacing w:before="480" w:line="276" w:lineRule="auto"/>
      <w:outlineLvl w:val="9"/>
    </w:pPr>
    <w:rPr>
      <w:b/>
      <w:bCs/>
      <w:sz w:val="28"/>
      <w:szCs w:val="28"/>
    </w:rPr>
  </w:style>
  <w:style w:type="paragraph" w:styleId="TOC1">
    <w:name w:val="toc 1"/>
    <w:basedOn w:val="Normal"/>
    <w:next w:val="Normal"/>
    <w:autoRedefine/>
    <w:uiPriority w:val="39"/>
    <w:unhideWhenUsed/>
    <w:rsid w:val="00ED7ACF"/>
    <w:pPr>
      <w:spacing w:before="120"/>
    </w:pPr>
    <w:rPr>
      <w:rFonts w:cstheme="minorHAnsi"/>
      <w:b/>
      <w:bCs/>
      <w:i/>
      <w:iCs/>
    </w:rPr>
  </w:style>
  <w:style w:type="paragraph" w:styleId="TOC2">
    <w:name w:val="toc 2"/>
    <w:basedOn w:val="Normal"/>
    <w:next w:val="Normal"/>
    <w:autoRedefine/>
    <w:uiPriority w:val="39"/>
    <w:semiHidden/>
    <w:unhideWhenUsed/>
    <w:rsid w:val="00ED7ACF"/>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ED7ACF"/>
    <w:pPr>
      <w:ind w:left="480"/>
    </w:pPr>
    <w:rPr>
      <w:rFonts w:cstheme="minorHAnsi"/>
      <w:sz w:val="20"/>
      <w:szCs w:val="20"/>
    </w:rPr>
  </w:style>
  <w:style w:type="paragraph" w:styleId="TOC4">
    <w:name w:val="toc 4"/>
    <w:basedOn w:val="Normal"/>
    <w:next w:val="Normal"/>
    <w:autoRedefine/>
    <w:uiPriority w:val="39"/>
    <w:semiHidden/>
    <w:unhideWhenUsed/>
    <w:rsid w:val="00ED7ACF"/>
    <w:pPr>
      <w:ind w:left="720"/>
    </w:pPr>
    <w:rPr>
      <w:rFonts w:cstheme="minorHAnsi"/>
      <w:sz w:val="20"/>
      <w:szCs w:val="20"/>
    </w:rPr>
  </w:style>
  <w:style w:type="paragraph" w:styleId="TOC5">
    <w:name w:val="toc 5"/>
    <w:basedOn w:val="Normal"/>
    <w:next w:val="Normal"/>
    <w:autoRedefine/>
    <w:uiPriority w:val="39"/>
    <w:semiHidden/>
    <w:unhideWhenUsed/>
    <w:rsid w:val="00ED7ACF"/>
    <w:pPr>
      <w:ind w:left="960"/>
    </w:pPr>
    <w:rPr>
      <w:rFonts w:cstheme="minorHAnsi"/>
      <w:sz w:val="20"/>
      <w:szCs w:val="20"/>
    </w:rPr>
  </w:style>
  <w:style w:type="paragraph" w:styleId="TOC6">
    <w:name w:val="toc 6"/>
    <w:basedOn w:val="Normal"/>
    <w:next w:val="Normal"/>
    <w:autoRedefine/>
    <w:uiPriority w:val="39"/>
    <w:semiHidden/>
    <w:unhideWhenUsed/>
    <w:rsid w:val="00ED7ACF"/>
    <w:pPr>
      <w:ind w:left="1200"/>
    </w:pPr>
    <w:rPr>
      <w:rFonts w:cstheme="minorHAnsi"/>
      <w:sz w:val="20"/>
      <w:szCs w:val="20"/>
    </w:rPr>
  </w:style>
  <w:style w:type="paragraph" w:styleId="TOC7">
    <w:name w:val="toc 7"/>
    <w:basedOn w:val="Normal"/>
    <w:next w:val="Normal"/>
    <w:autoRedefine/>
    <w:uiPriority w:val="39"/>
    <w:semiHidden/>
    <w:unhideWhenUsed/>
    <w:rsid w:val="00ED7ACF"/>
    <w:pPr>
      <w:ind w:left="1440"/>
    </w:pPr>
    <w:rPr>
      <w:rFonts w:cstheme="minorHAnsi"/>
      <w:sz w:val="20"/>
      <w:szCs w:val="20"/>
    </w:rPr>
  </w:style>
  <w:style w:type="paragraph" w:styleId="TOC8">
    <w:name w:val="toc 8"/>
    <w:basedOn w:val="Normal"/>
    <w:next w:val="Normal"/>
    <w:autoRedefine/>
    <w:uiPriority w:val="39"/>
    <w:semiHidden/>
    <w:unhideWhenUsed/>
    <w:rsid w:val="00ED7ACF"/>
    <w:pPr>
      <w:ind w:left="1680"/>
    </w:pPr>
    <w:rPr>
      <w:rFonts w:cstheme="minorHAnsi"/>
      <w:sz w:val="20"/>
      <w:szCs w:val="20"/>
    </w:rPr>
  </w:style>
  <w:style w:type="paragraph" w:styleId="TOC9">
    <w:name w:val="toc 9"/>
    <w:basedOn w:val="Normal"/>
    <w:next w:val="Normal"/>
    <w:autoRedefine/>
    <w:uiPriority w:val="39"/>
    <w:semiHidden/>
    <w:unhideWhenUsed/>
    <w:rsid w:val="00ED7ACF"/>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872321">
      <w:bodyDiv w:val="1"/>
      <w:marLeft w:val="0"/>
      <w:marRight w:val="0"/>
      <w:marTop w:val="0"/>
      <w:marBottom w:val="0"/>
      <w:divBdr>
        <w:top w:val="none" w:sz="0" w:space="0" w:color="auto"/>
        <w:left w:val="none" w:sz="0" w:space="0" w:color="auto"/>
        <w:bottom w:val="none" w:sz="0" w:space="0" w:color="auto"/>
        <w:right w:val="none" w:sz="0" w:space="0" w:color="auto"/>
      </w:divBdr>
    </w:div>
    <w:div w:id="715470399">
      <w:bodyDiv w:val="1"/>
      <w:marLeft w:val="0"/>
      <w:marRight w:val="0"/>
      <w:marTop w:val="0"/>
      <w:marBottom w:val="0"/>
      <w:divBdr>
        <w:top w:val="none" w:sz="0" w:space="0" w:color="auto"/>
        <w:left w:val="none" w:sz="0" w:space="0" w:color="auto"/>
        <w:bottom w:val="none" w:sz="0" w:space="0" w:color="auto"/>
        <w:right w:val="none" w:sz="0" w:space="0" w:color="auto"/>
      </w:divBdr>
      <w:divsChild>
        <w:div w:id="79838233">
          <w:marLeft w:val="0"/>
          <w:marRight w:val="0"/>
          <w:marTop w:val="0"/>
          <w:marBottom w:val="0"/>
          <w:divBdr>
            <w:top w:val="none" w:sz="0" w:space="0" w:color="auto"/>
            <w:left w:val="none" w:sz="0" w:space="0" w:color="auto"/>
            <w:bottom w:val="none" w:sz="0" w:space="0" w:color="auto"/>
            <w:right w:val="none" w:sz="0" w:space="0" w:color="auto"/>
          </w:divBdr>
          <w:divsChild>
            <w:div w:id="1775904674">
              <w:marLeft w:val="0"/>
              <w:marRight w:val="0"/>
              <w:marTop w:val="0"/>
              <w:marBottom w:val="0"/>
              <w:divBdr>
                <w:top w:val="none" w:sz="0" w:space="0" w:color="auto"/>
                <w:left w:val="none" w:sz="0" w:space="0" w:color="auto"/>
                <w:bottom w:val="none" w:sz="0" w:space="0" w:color="auto"/>
                <w:right w:val="none" w:sz="0" w:space="0" w:color="auto"/>
              </w:divBdr>
              <w:divsChild>
                <w:div w:id="8284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76715">
      <w:bodyDiv w:val="1"/>
      <w:marLeft w:val="0"/>
      <w:marRight w:val="0"/>
      <w:marTop w:val="0"/>
      <w:marBottom w:val="0"/>
      <w:divBdr>
        <w:top w:val="none" w:sz="0" w:space="0" w:color="auto"/>
        <w:left w:val="none" w:sz="0" w:space="0" w:color="auto"/>
        <w:bottom w:val="none" w:sz="0" w:space="0" w:color="auto"/>
        <w:right w:val="none" w:sz="0" w:space="0" w:color="auto"/>
      </w:divBdr>
      <w:divsChild>
        <w:div w:id="1144466246">
          <w:marLeft w:val="0"/>
          <w:marRight w:val="0"/>
          <w:marTop w:val="0"/>
          <w:marBottom w:val="0"/>
          <w:divBdr>
            <w:top w:val="none" w:sz="0" w:space="0" w:color="auto"/>
            <w:left w:val="none" w:sz="0" w:space="0" w:color="auto"/>
            <w:bottom w:val="none" w:sz="0" w:space="0" w:color="auto"/>
            <w:right w:val="none" w:sz="0" w:space="0" w:color="auto"/>
          </w:divBdr>
          <w:divsChild>
            <w:div w:id="1851410859">
              <w:marLeft w:val="0"/>
              <w:marRight w:val="0"/>
              <w:marTop w:val="0"/>
              <w:marBottom w:val="0"/>
              <w:divBdr>
                <w:top w:val="none" w:sz="0" w:space="0" w:color="auto"/>
                <w:left w:val="none" w:sz="0" w:space="0" w:color="auto"/>
                <w:bottom w:val="none" w:sz="0" w:space="0" w:color="auto"/>
                <w:right w:val="none" w:sz="0" w:space="0" w:color="auto"/>
              </w:divBdr>
              <w:divsChild>
                <w:div w:id="738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00841">
      <w:bodyDiv w:val="1"/>
      <w:marLeft w:val="0"/>
      <w:marRight w:val="0"/>
      <w:marTop w:val="0"/>
      <w:marBottom w:val="0"/>
      <w:divBdr>
        <w:top w:val="none" w:sz="0" w:space="0" w:color="auto"/>
        <w:left w:val="none" w:sz="0" w:space="0" w:color="auto"/>
        <w:bottom w:val="none" w:sz="0" w:space="0" w:color="auto"/>
        <w:right w:val="none" w:sz="0" w:space="0" w:color="auto"/>
      </w:divBdr>
    </w:div>
    <w:div w:id="1610090425">
      <w:bodyDiv w:val="1"/>
      <w:marLeft w:val="0"/>
      <w:marRight w:val="0"/>
      <w:marTop w:val="0"/>
      <w:marBottom w:val="0"/>
      <w:divBdr>
        <w:top w:val="none" w:sz="0" w:space="0" w:color="auto"/>
        <w:left w:val="none" w:sz="0" w:space="0" w:color="auto"/>
        <w:bottom w:val="none" w:sz="0" w:space="0" w:color="auto"/>
        <w:right w:val="none" w:sz="0" w:space="0" w:color="auto"/>
      </w:divBdr>
    </w:div>
    <w:div w:id="1664313198">
      <w:bodyDiv w:val="1"/>
      <w:marLeft w:val="0"/>
      <w:marRight w:val="0"/>
      <w:marTop w:val="0"/>
      <w:marBottom w:val="0"/>
      <w:divBdr>
        <w:top w:val="none" w:sz="0" w:space="0" w:color="auto"/>
        <w:left w:val="none" w:sz="0" w:space="0" w:color="auto"/>
        <w:bottom w:val="none" w:sz="0" w:space="0" w:color="auto"/>
        <w:right w:val="none" w:sz="0" w:space="0" w:color="auto"/>
      </w:divBdr>
      <w:divsChild>
        <w:div w:id="916671296">
          <w:marLeft w:val="0"/>
          <w:marRight w:val="0"/>
          <w:marTop w:val="0"/>
          <w:marBottom w:val="0"/>
          <w:divBdr>
            <w:top w:val="none" w:sz="0" w:space="0" w:color="auto"/>
            <w:left w:val="none" w:sz="0" w:space="0" w:color="auto"/>
            <w:bottom w:val="none" w:sz="0" w:space="0" w:color="auto"/>
            <w:right w:val="none" w:sz="0" w:space="0" w:color="auto"/>
          </w:divBdr>
          <w:divsChild>
            <w:div w:id="306470226">
              <w:marLeft w:val="0"/>
              <w:marRight w:val="0"/>
              <w:marTop w:val="0"/>
              <w:marBottom w:val="0"/>
              <w:divBdr>
                <w:top w:val="none" w:sz="0" w:space="0" w:color="auto"/>
                <w:left w:val="none" w:sz="0" w:space="0" w:color="auto"/>
                <w:bottom w:val="none" w:sz="0" w:space="0" w:color="auto"/>
                <w:right w:val="none" w:sz="0" w:space="0" w:color="auto"/>
              </w:divBdr>
              <w:divsChild>
                <w:div w:id="5291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bipm.org/en/publications/si-brochure" TargetMode="External"/><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2FE3C-C6EC-994A-A793-9EF3FB7C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19</Pages>
  <Words>3564</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Blackwood</dc:creator>
  <cp:keywords/>
  <dc:description/>
  <cp:lastModifiedBy>Phil Blackwood</cp:lastModifiedBy>
  <cp:revision>110</cp:revision>
  <cp:lastPrinted>2021-05-05T12:47:00Z</cp:lastPrinted>
  <dcterms:created xsi:type="dcterms:W3CDTF">2021-05-01T13:41:00Z</dcterms:created>
  <dcterms:modified xsi:type="dcterms:W3CDTF">2021-05-24T13:21:00Z</dcterms:modified>
  <cp:category/>
</cp:coreProperties>
</file>